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F5ADC" w14:textId="77777777" w:rsidR="0048364F" w:rsidRPr="004F679B" w:rsidRDefault="00193461" w:rsidP="0020300C">
      <w:pPr>
        <w:rPr>
          <w:sz w:val="28"/>
        </w:rPr>
      </w:pPr>
      <w:r w:rsidRPr="004F679B">
        <w:rPr>
          <w:noProof/>
          <w:lang w:eastAsia="en-AU"/>
        </w:rPr>
        <w:drawing>
          <wp:inline distT="0" distB="0" distL="0" distR="0" wp14:anchorId="24425A84" wp14:editId="69AC64F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035D1F" w14:paraId="0634B306" w14:textId="77777777" w:rsidTr="00035D1F">
        <w:tc>
          <w:tcPr>
            <w:tcW w:w="5000" w:type="pct"/>
          </w:tcPr>
          <w:p w14:paraId="73FF3E81" w14:textId="77777777" w:rsidR="00035D1F" w:rsidRDefault="00035D1F" w:rsidP="00035D1F">
            <w:pPr>
              <w:jc w:val="center"/>
              <w:rPr>
                <w:b/>
                <w:sz w:val="26"/>
              </w:rPr>
            </w:pPr>
            <w:r>
              <w:rPr>
                <w:b/>
                <w:sz w:val="26"/>
              </w:rPr>
              <w:t>EXPOSURE DRAFT</w:t>
            </w:r>
          </w:p>
          <w:p w14:paraId="0AFC256E" w14:textId="1446E3B5" w:rsidR="00035D1F" w:rsidRPr="00035D1F" w:rsidRDefault="00035D1F" w:rsidP="00035D1F">
            <w:pPr>
              <w:rPr>
                <w:b/>
                <w:sz w:val="20"/>
              </w:rPr>
            </w:pPr>
          </w:p>
        </w:tc>
      </w:tr>
    </w:tbl>
    <w:p w14:paraId="105D8E8E" w14:textId="77777777" w:rsidR="0048364F" w:rsidRDefault="0048364F" w:rsidP="0048364F">
      <w:pPr>
        <w:rPr>
          <w:sz w:val="19"/>
        </w:rPr>
      </w:pPr>
    </w:p>
    <w:p w14:paraId="1E62C7C7" w14:textId="77777777" w:rsidR="00035D1F" w:rsidRPr="004F679B" w:rsidRDefault="00035D1F" w:rsidP="0048364F">
      <w:pPr>
        <w:rPr>
          <w:sz w:val="19"/>
        </w:rPr>
      </w:pPr>
    </w:p>
    <w:p w14:paraId="70328EE3" w14:textId="7FFCFEA4" w:rsidR="0048364F" w:rsidRPr="004F679B" w:rsidRDefault="00C5035E" w:rsidP="0048364F">
      <w:pPr>
        <w:pStyle w:val="ShortT"/>
      </w:pPr>
      <w:r w:rsidRPr="004F679B">
        <w:t>Anti</w:t>
      </w:r>
      <w:r w:rsidR="004F679B">
        <w:noBreakHyphen/>
      </w:r>
      <w:r w:rsidRPr="004F679B">
        <w:t>Money Laundering and Counter</w:t>
      </w:r>
      <w:r w:rsidR="004F679B">
        <w:noBreakHyphen/>
      </w:r>
      <w:r w:rsidRPr="004F679B">
        <w:t xml:space="preserve">Terrorism Financing </w:t>
      </w:r>
      <w:r w:rsidR="006E0E76" w:rsidRPr="004F679B">
        <w:t>(</w:t>
      </w:r>
      <w:r w:rsidR="009B2AA2">
        <w:t xml:space="preserve">Class </w:t>
      </w:r>
      <w:r w:rsidR="000F4E82">
        <w:t>Exemptions and Other Matters</w:t>
      </w:r>
      <w:r w:rsidR="006E0E76" w:rsidRPr="004F679B">
        <w:t xml:space="preserve">) Amendment </w:t>
      </w:r>
      <w:r w:rsidR="000F4E82">
        <w:t xml:space="preserve">Rules </w:t>
      </w:r>
      <w:r w:rsidR="004D3821" w:rsidRPr="004F679B">
        <w:t>2026</w:t>
      </w:r>
    </w:p>
    <w:p w14:paraId="40887671" w14:textId="5EFA5BA2" w:rsidR="00C5035E" w:rsidRPr="004F679B" w:rsidRDefault="00C5035E" w:rsidP="008E4315">
      <w:pPr>
        <w:pStyle w:val="SignCoverPageStart"/>
        <w:rPr>
          <w:szCs w:val="22"/>
        </w:rPr>
      </w:pPr>
      <w:r w:rsidRPr="004F679B">
        <w:rPr>
          <w:szCs w:val="22"/>
        </w:rPr>
        <w:t>I, Brendan Thomas, Chief Executive Officer, Australian Transaction Reports and Analysis Centre, make the following rules.</w:t>
      </w:r>
    </w:p>
    <w:p w14:paraId="4E34ABAF" w14:textId="469EEABA" w:rsidR="00C5035E" w:rsidRPr="004F679B" w:rsidRDefault="00C5035E" w:rsidP="008E4315">
      <w:pPr>
        <w:keepNext/>
        <w:spacing w:before="300" w:line="240" w:lineRule="atLeast"/>
        <w:ind w:right="397"/>
        <w:jc w:val="both"/>
        <w:rPr>
          <w:szCs w:val="22"/>
        </w:rPr>
      </w:pPr>
      <w:r w:rsidRPr="004F679B">
        <w:rPr>
          <w:szCs w:val="22"/>
        </w:rPr>
        <w:t>Dated</w:t>
      </w:r>
      <w:r w:rsidRPr="004F679B">
        <w:rPr>
          <w:szCs w:val="22"/>
        </w:rPr>
        <w:tab/>
      </w:r>
      <w:r w:rsidRPr="004F679B">
        <w:rPr>
          <w:szCs w:val="22"/>
        </w:rPr>
        <w:tab/>
      </w:r>
      <w:r w:rsidRPr="004F679B">
        <w:rPr>
          <w:szCs w:val="22"/>
        </w:rPr>
        <w:tab/>
      </w:r>
      <w:r w:rsidRPr="004F679B">
        <w:rPr>
          <w:szCs w:val="22"/>
        </w:rPr>
        <w:tab/>
      </w:r>
      <w:r w:rsidRPr="004F679B">
        <w:rPr>
          <w:szCs w:val="22"/>
        </w:rPr>
        <w:fldChar w:fldCharType="begin"/>
      </w:r>
      <w:r w:rsidRPr="004F679B">
        <w:rPr>
          <w:szCs w:val="22"/>
        </w:rPr>
        <w:instrText xml:space="preserve"> DOCPROPERTY  DateMade </w:instrText>
      </w:r>
      <w:r w:rsidRPr="004F679B">
        <w:rPr>
          <w:szCs w:val="22"/>
        </w:rPr>
        <w:fldChar w:fldCharType="separate"/>
      </w:r>
      <w:r w:rsidR="00783799">
        <w:rPr>
          <w:szCs w:val="22"/>
        </w:rPr>
        <w:t>2026</w:t>
      </w:r>
      <w:r w:rsidRPr="004F679B">
        <w:rPr>
          <w:szCs w:val="22"/>
        </w:rPr>
        <w:fldChar w:fldCharType="end"/>
      </w:r>
    </w:p>
    <w:p w14:paraId="55AB4239" w14:textId="5F83EBFE" w:rsidR="00C5035E" w:rsidRPr="004F679B" w:rsidRDefault="00C5035E" w:rsidP="008E4315">
      <w:pPr>
        <w:keepNext/>
        <w:tabs>
          <w:tab w:val="left" w:pos="3402"/>
        </w:tabs>
        <w:spacing w:before="1440" w:line="300" w:lineRule="atLeast"/>
        <w:ind w:right="397"/>
        <w:rPr>
          <w:szCs w:val="22"/>
        </w:rPr>
      </w:pPr>
      <w:r w:rsidRPr="004F679B">
        <w:rPr>
          <w:szCs w:val="22"/>
        </w:rPr>
        <w:t>Brendan Thomas</w:t>
      </w:r>
      <w:r w:rsidRPr="004F679B">
        <w:t xml:space="preserve"> </w:t>
      </w:r>
      <w:r w:rsidRPr="004F679B">
        <w:rPr>
          <w:b/>
          <w:szCs w:val="22"/>
        </w:rPr>
        <w:t>[DRAFT ONLY—NOT FOR SIGNATURE]</w:t>
      </w:r>
    </w:p>
    <w:p w14:paraId="261862E5" w14:textId="7D4A16A7" w:rsidR="00C5035E" w:rsidRPr="004F679B" w:rsidRDefault="00C5035E" w:rsidP="008E4315">
      <w:pPr>
        <w:pStyle w:val="SignCoverPageEnd"/>
        <w:rPr>
          <w:szCs w:val="22"/>
        </w:rPr>
      </w:pPr>
      <w:r w:rsidRPr="004F679B">
        <w:rPr>
          <w:szCs w:val="22"/>
        </w:rPr>
        <w:t>Chief Executive Officer</w:t>
      </w:r>
      <w:r w:rsidR="004D3821" w:rsidRPr="004F679B">
        <w:rPr>
          <w:szCs w:val="22"/>
        </w:rPr>
        <w:br/>
      </w:r>
      <w:r w:rsidRPr="004F679B">
        <w:rPr>
          <w:szCs w:val="22"/>
        </w:rPr>
        <w:t>Australian Transaction Reports and Analysis Centre</w:t>
      </w:r>
    </w:p>
    <w:p w14:paraId="1096AB09" w14:textId="77777777" w:rsidR="00C5035E" w:rsidRPr="004F679B" w:rsidRDefault="00C5035E" w:rsidP="008E4315"/>
    <w:p w14:paraId="42A887B5" w14:textId="77777777" w:rsidR="0048364F" w:rsidRPr="004F679B" w:rsidRDefault="0048364F" w:rsidP="0048364F">
      <w:pPr>
        <w:pStyle w:val="Header"/>
        <w:tabs>
          <w:tab w:val="clear" w:pos="4150"/>
          <w:tab w:val="clear" w:pos="8307"/>
        </w:tabs>
      </w:pPr>
      <w:r w:rsidRPr="004F679B">
        <w:rPr>
          <w:rStyle w:val="CharAmSchNo"/>
        </w:rPr>
        <w:t xml:space="preserve"> </w:t>
      </w:r>
      <w:r w:rsidRPr="004F679B">
        <w:rPr>
          <w:rStyle w:val="CharAmSchText"/>
        </w:rPr>
        <w:t xml:space="preserve"> </w:t>
      </w:r>
    </w:p>
    <w:p w14:paraId="566B03FE" w14:textId="77777777" w:rsidR="0048364F" w:rsidRPr="004F679B" w:rsidRDefault="0048364F" w:rsidP="0048364F">
      <w:pPr>
        <w:pStyle w:val="Header"/>
        <w:tabs>
          <w:tab w:val="clear" w:pos="4150"/>
          <w:tab w:val="clear" w:pos="8307"/>
        </w:tabs>
      </w:pPr>
      <w:r w:rsidRPr="004F679B">
        <w:rPr>
          <w:rStyle w:val="CharAmPartNo"/>
        </w:rPr>
        <w:t xml:space="preserve"> </w:t>
      </w:r>
      <w:r w:rsidRPr="004F679B">
        <w:rPr>
          <w:rStyle w:val="CharAmPartText"/>
        </w:rPr>
        <w:t xml:space="preserve"> </w:t>
      </w:r>
    </w:p>
    <w:p w14:paraId="62850DEC" w14:textId="77777777" w:rsidR="0048364F" w:rsidRPr="004F679B" w:rsidRDefault="0048364F" w:rsidP="0048364F">
      <w:pPr>
        <w:sectPr w:rsidR="0048364F" w:rsidRPr="004F679B" w:rsidSect="00E97334">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25741118" w14:textId="77777777" w:rsidR="00220A0C" w:rsidRPr="004F679B" w:rsidRDefault="0048364F" w:rsidP="0048364F">
      <w:pPr>
        <w:outlineLvl w:val="0"/>
        <w:rPr>
          <w:sz w:val="36"/>
        </w:rPr>
      </w:pPr>
      <w:r w:rsidRPr="004F679B">
        <w:rPr>
          <w:sz w:val="36"/>
        </w:rPr>
        <w:lastRenderedPageBreak/>
        <w:t>Contents</w:t>
      </w:r>
    </w:p>
    <w:p w14:paraId="78093E42" w14:textId="78039A95" w:rsidR="007C61A8" w:rsidRDefault="007C61A8">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7C61A8">
        <w:rPr>
          <w:noProof/>
        </w:rPr>
        <w:tab/>
      </w:r>
      <w:r w:rsidRPr="007C61A8">
        <w:rPr>
          <w:noProof/>
        </w:rPr>
        <w:fldChar w:fldCharType="begin"/>
      </w:r>
      <w:r w:rsidRPr="007C61A8">
        <w:rPr>
          <w:noProof/>
        </w:rPr>
        <w:instrText xml:space="preserve"> PAGEREF _Toc221271703 \h </w:instrText>
      </w:r>
      <w:r w:rsidRPr="007C61A8">
        <w:rPr>
          <w:noProof/>
        </w:rPr>
      </w:r>
      <w:r w:rsidRPr="007C61A8">
        <w:rPr>
          <w:noProof/>
        </w:rPr>
        <w:fldChar w:fldCharType="separate"/>
      </w:r>
      <w:r w:rsidR="00783799">
        <w:rPr>
          <w:noProof/>
        </w:rPr>
        <w:t>1</w:t>
      </w:r>
      <w:r w:rsidRPr="007C61A8">
        <w:rPr>
          <w:noProof/>
        </w:rPr>
        <w:fldChar w:fldCharType="end"/>
      </w:r>
    </w:p>
    <w:p w14:paraId="15A66FE0" w14:textId="7F5477F7" w:rsidR="007C61A8" w:rsidRDefault="007C61A8">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7C61A8">
        <w:rPr>
          <w:noProof/>
        </w:rPr>
        <w:tab/>
      </w:r>
      <w:r w:rsidRPr="007C61A8">
        <w:rPr>
          <w:noProof/>
        </w:rPr>
        <w:fldChar w:fldCharType="begin"/>
      </w:r>
      <w:r w:rsidRPr="007C61A8">
        <w:rPr>
          <w:noProof/>
        </w:rPr>
        <w:instrText xml:space="preserve"> PAGEREF _Toc221271704 \h </w:instrText>
      </w:r>
      <w:r w:rsidRPr="007C61A8">
        <w:rPr>
          <w:noProof/>
        </w:rPr>
      </w:r>
      <w:r w:rsidRPr="007C61A8">
        <w:rPr>
          <w:noProof/>
        </w:rPr>
        <w:fldChar w:fldCharType="separate"/>
      </w:r>
      <w:r w:rsidR="00783799">
        <w:rPr>
          <w:noProof/>
        </w:rPr>
        <w:t>1</w:t>
      </w:r>
      <w:r w:rsidRPr="007C61A8">
        <w:rPr>
          <w:noProof/>
        </w:rPr>
        <w:fldChar w:fldCharType="end"/>
      </w:r>
    </w:p>
    <w:p w14:paraId="2D1EAEA1" w14:textId="08B7B49B" w:rsidR="007C61A8" w:rsidRDefault="007C61A8">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7C61A8">
        <w:rPr>
          <w:noProof/>
        </w:rPr>
        <w:tab/>
      </w:r>
      <w:r w:rsidRPr="007C61A8">
        <w:rPr>
          <w:noProof/>
        </w:rPr>
        <w:fldChar w:fldCharType="begin"/>
      </w:r>
      <w:r w:rsidRPr="007C61A8">
        <w:rPr>
          <w:noProof/>
        </w:rPr>
        <w:instrText xml:space="preserve"> PAGEREF _Toc221271705 \h </w:instrText>
      </w:r>
      <w:r w:rsidRPr="007C61A8">
        <w:rPr>
          <w:noProof/>
        </w:rPr>
      </w:r>
      <w:r w:rsidRPr="007C61A8">
        <w:rPr>
          <w:noProof/>
        </w:rPr>
        <w:fldChar w:fldCharType="separate"/>
      </w:r>
      <w:r w:rsidR="00783799">
        <w:rPr>
          <w:noProof/>
        </w:rPr>
        <w:t>1</w:t>
      </w:r>
      <w:r w:rsidRPr="007C61A8">
        <w:rPr>
          <w:noProof/>
        </w:rPr>
        <w:fldChar w:fldCharType="end"/>
      </w:r>
    </w:p>
    <w:p w14:paraId="0D1E308E" w14:textId="0ECE917B" w:rsidR="007C61A8" w:rsidRDefault="007C61A8">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7C61A8">
        <w:rPr>
          <w:noProof/>
        </w:rPr>
        <w:tab/>
      </w:r>
      <w:r w:rsidRPr="007C61A8">
        <w:rPr>
          <w:noProof/>
        </w:rPr>
        <w:fldChar w:fldCharType="begin"/>
      </w:r>
      <w:r w:rsidRPr="007C61A8">
        <w:rPr>
          <w:noProof/>
        </w:rPr>
        <w:instrText xml:space="preserve"> PAGEREF _Toc221271706 \h </w:instrText>
      </w:r>
      <w:r w:rsidRPr="007C61A8">
        <w:rPr>
          <w:noProof/>
        </w:rPr>
      </w:r>
      <w:r w:rsidRPr="007C61A8">
        <w:rPr>
          <w:noProof/>
        </w:rPr>
        <w:fldChar w:fldCharType="separate"/>
      </w:r>
      <w:r w:rsidR="00783799">
        <w:rPr>
          <w:noProof/>
        </w:rPr>
        <w:t>1</w:t>
      </w:r>
      <w:r w:rsidRPr="007C61A8">
        <w:rPr>
          <w:noProof/>
        </w:rPr>
        <w:fldChar w:fldCharType="end"/>
      </w:r>
    </w:p>
    <w:p w14:paraId="5A3977CC" w14:textId="671AED80" w:rsidR="007C61A8" w:rsidRDefault="007C61A8">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7C61A8">
        <w:rPr>
          <w:b w:val="0"/>
          <w:noProof/>
          <w:sz w:val="18"/>
        </w:rPr>
        <w:tab/>
      </w:r>
      <w:r w:rsidRPr="007C61A8">
        <w:rPr>
          <w:b w:val="0"/>
          <w:noProof/>
          <w:sz w:val="18"/>
        </w:rPr>
        <w:fldChar w:fldCharType="begin"/>
      </w:r>
      <w:r w:rsidRPr="007C61A8">
        <w:rPr>
          <w:b w:val="0"/>
          <w:noProof/>
          <w:sz w:val="18"/>
        </w:rPr>
        <w:instrText xml:space="preserve"> PAGEREF _Toc221271707 \h </w:instrText>
      </w:r>
      <w:r w:rsidRPr="007C61A8">
        <w:rPr>
          <w:b w:val="0"/>
          <w:noProof/>
          <w:sz w:val="18"/>
        </w:rPr>
      </w:r>
      <w:r w:rsidRPr="007C61A8">
        <w:rPr>
          <w:b w:val="0"/>
          <w:noProof/>
          <w:sz w:val="18"/>
        </w:rPr>
        <w:fldChar w:fldCharType="separate"/>
      </w:r>
      <w:r w:rsidR="00783799">
        <w:rPr>
          <w:b w:val="0"/>
          <w:noProof/>
          <w:sz w:val="18"/>
        </w:rPr>
        <w:t>2</w:t>
      </w:r>
      <w:r w:rsidRPr="007C61A8">
        <w:rPr>
          <w:b w:val="0"/>
          <w:noProof/>
          <w:sz w:val="18"/>
        </w:rPr>
        <w:fldChar w:fldCharType="end"/>
      </w:r>
    </w:p>
    <w:p w14:paraId="69B5C07F" w14:textId="62EF4B66" w:rsidR="007C61A8" w:rsidRDefault="007C61A8">
      <w:pPr>
        <w:pStyle w:val="TOC9"/>
        <w:rPr>
          <w:rFonts w:asciiTheme="minorHAnsi" w:eastAsiaTheme="minorEastAsia" w:hAnsiTheme="minorHAnsi" w:cstheme="minorBidi"/>
          <w:i w:val="0"/>
          <w:noProof/>
          <w:kern w:val="2"/>
          <w:sz w:val="24"/>
          <w:szCs w:val="24"/>
          <w14:ligatures w14:val="standardContextual"/>
        </w:rPr>
      </w:pPr>
      <w:r>
        <w:rPr>
          <w:noProof/>
        </w:rPr>
        <w:t>Anti</w:t>
      </w:r>
      <w:r>
        <w:rPr>
          <w:noProof/>
        </w:rPr>
        <w:noBreakHyphen/>
        <w:t>Money Laundering and Counter</w:t>
      </w:r>
      <w:r>
        <w:rPr>
          <w:noProof/>
        </w:rPr>
        <w:noBreakHyphen/>
        <w:t>Terrorism Financing (Class Exemptions and Other Matters) Rules 2007</w:t>
      </w:r>
      <w:r w:rsidRPr="007C61A8">
        <w:rPr>
          <w:i w:val="0"/>
          <w:noProof/>
          <w:sz w:val="18"/>
        </w:rPr>
        <w:tab/>
      </w:r>
      <w:r w:rsidRPr="007C61A8">
        <w:rPr>
          <w:i w:val="0"/>
          <w:noProof/>
          <w:sz w:val="18"/>
        </w:rPr>
        <w:fldChar w:fldCharType="begin"/>
      </w:r>
      <w:r w:rsidRPr="007C61A8">
        <w:rPr>
          <w:i w:val="0"/>
          <w:noProof/>
          <w:sz w:val="18"/>
        </w:rPr>
        <w:instrText xml:space="preserve"> PAGEREF _Toc221271708 \h </w:instrText>
      </w:r>
      <w:r w:rsidRPr="007C61A8">
        <w:rPr>
          <w:i w:val="0"/>
          <w:noProof/>
          <w:sz w:val="18"/>
        </w:rPr>
      </w:r>
      <w:r w:rsidRPr="007C61A8">
        <w:rPr>
          <w:i w:val="0"/>
          <w:noProof/>
          <w:sz w:val="18"/>
        </w:rPr>
        <w:fldChar w:fldCharType="separate"/>
      </w:r>
      <w:r w:rsidR="00783799">
        <w:rPr>
          <w:i w:val="0"/>
          <w:noProof/>
          <w:sz w:val="18"/>
        </w:rPr>
        <w:t>2</w:t>
      </w:r>
      <w:r w:rsidRPr="007C61A8">
        <w:rPr>
          <w:i w:val="0"/>
          <w:noProof/>
          <w:sz w:val="18"/>
        </w:rPr>
        <w:fldChar w:fldCharType="end"/>
      </w:r>
    </w:p>
    <w:p w14:paraId="547609D6" w14:textId="5E2833BE" w:rsidR="0048364F" w:rsidRPr="004F679B" w:rsidRDefault="007C61A8" w:rsidP="0048364F">
      <w:r>
        <w:fldChar w:fldCharType="end"/>
      </w:r>
    </w:p>
    <w:p w14:paraId="4F644676" w14:textId="77777777" w:rsidR="0048364F" w:rsidRPr="004F679B" w:rsidRDefault="0048364F" w:rsidP="0048364F">
      <w:pPr>
        <w:sectPr w:rsidR="0048364F" w:rsidRPr="004F679B" w:rsidSect="007F48ED">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54EFF009" w14:textId="77777777" w:rsidR="0048364F" w:rsidRPr="004F679B" w:rsidRDefault="0048364F" w:rsidP="0048364F">
      <w:pPr>
        <w:pStyle w:val="ActHead5"/>
      </w:pPr>
      <w:bookmarkStart w:id="0" w:name="_Toc221271703"/>
      <w:r w:rsidRPr="004F679B">
        <w:rPr>
          <w:rStyle w:val="CharSectno"/>
        </w:rPr>
        <w:lastRenderedPageBreak/>
        <w:t>1</w:t>
      </w:r>
      <w:r w:rsidRPr="004F679B">
        <w:t xml:space="preserve">  </w:t>
      </w:r>
      <w:r w:rsidR="004F676E" w:rsidRPr="004F679B">
        <w:t>Name</w:t>
      </w:r>
      <w:bookmarkEnd w:id="0"/>
    </w:p>
    <w:p w14:paraId="13D87AF0" w14:textId="2D8BC554" w:rsidR="0048364F" w:rsidRPr="004F679B" w:rsidRDefault="0048364F" w:rsidP="0048364F">
      <w:pPr>
        <w:pStyle w:val="subsection"/>
      </w:pPr>
      <w:r w:rsidRPr="004F679B">
        <w:tab/>
      </w:r>
      <w:r w:rsidRPr="004F679B">
        <w:tab/>
      </w:r>
      <w:r w:rsidR="00C5035E" w:rsidRPr="004F679B">
        <w:t>This instrument is</w:t>
      </w:r>
      <w:r w:rsidRPr="004F679B">
        <w:t xml:space="preserve"> the </w:t>
      </w:r>
      <w:r w:rsidR="006E0E76" w:rsidRPr="004F679B">
        <w:rPr>
          <w:i/>
          <w:iCs/>
        </w:rPr>
        <w:t>Anti</w:t>
      </w:r>
      <w:r w:rsidR="004F679B">
        <w:rPr>
          <w:i/>
          <w:iCs/>
        </w:rPr>
        <w:noBreakHyphen/>
      </w:r>
      <w:r w:rsidR="006E0E76" w:rsidRPr="004F679B">
        <w:rPr>
          <w:i/>
          <w:iCs/>
        </w:rPr>
        <w:t>Money Laundering and Counter</w:t>
      </w:r>
      <w:r w:rsidR="004F679B">
        <w:rPr>
          <w:i/>
          <w:iCs/>
        </w:rPr>
        <w:noBreakHyphen/>
      </w:r>
      <w:r w:rsidR="006E0E76" w:rsidRPr="004F679B">
        <w:rPr>
          <w:i/>
          <w:iCs/>
        </w:rPr>
        <w:t>Terrorism Financing (</w:t>
      </w:r>
      <w:r w:rsidR="000F4E82">
        <w:rPr>
          <w:i/>
          <w:iCs/>
        </w:rPr>
        <w:t>Class Exemptions and Other Matters</w:t>
      </w:r>
      <w:r w:rsidR="006E0E76" w:rsidRPr="004F679B">
        <w:rPr>
          <w:i/>
          <w:iCs/>
        </w:rPr>
        <w:t xml:space="preserve">) Amendment </w:t>
      </w:r>
      <w:r w:rsidR="000F4E82">
        <w:rPr>
          <w:i/>
          <w:iCs/>
        </w:rPr>
        <w:t xml:space="preserve">Rules </w:t>
      </w:r>
      <w:r w:rsidR="006E0E76" w:rsidRPr="004F679B">
        <w:rPr>
          <w:i/>
          <w:iCs/>
        </w:rPr>
        <w:t>2026</w:t>
      </w:r>
      <w:r w:rsidRPr="004F679B">
        <w:t>.</w:t>
      </w:r>
    </w:p>
    <w:p w14:paraId="72F111B7" w14:textId="77777777" w:rsidR="004F676E" w:rsidRPr="004F679B" w:rsidRDefault="0048364F" w:rsidP="005452CC">
      <w:pPr>
        <w:pStyle w:val="ActHead5"/>
      </w:pPr>
      <w:bookmarkStart w:id="1" w:name="_Toc221271704"/>
      <w:r w:rsidRPr="004F679B">
        <w:rPr>
          <w:rStyle w:val="CharSectno"/>
        </w:rPr>
        <w:t>2</w:t>
      </w:r>
      <w:r w:rsidRPr="004F679B">
        <w:t xml:space="preserve">  Commencement</w:t>
      </w:r>
      <w:bookmarkEnd w:id="1"/>
    </w:p>
    <w:p w14:paraId="25419317" w14:textId="77777777" w:rsidR="005452CC" w:rsidRPr="004F679B" w:rsidRDefault="005452CC" w:rsidP="00593449">
      <w:pPr>
        <w:pStyle w:val="subsection"/>
      </w:pPr>
      <w:r w:rsidRPr="004F679B">
        <w:tab/>
        <w:t>(1)</w:t>
      </w:r>
      <w:r w:rsidRPr="004F679B">
        <w:tab/>
        <w:t xml:space="preserve">Each provision of </w:t>
      </w:r>
      <w:r w:rsidR="00C5035E" w:rsidRPr="004F679B">
        <w:t>this instrument</w:t>
      </w:r>
      <w:r w:rsidRPr="004F679B">
        <w:t xml:space="preserve"> specified in column 1 of the table commences, or is taken to have commenced, in accordance with column 2 of the table. Any other statement in column 2 has effect according to its terms.</w:t>
      </w:r>
    </w:p>
    <w:p w14:paraId="5FB4ABB3" w14:textId="77777777" w:rsidR="005452CC" w:rsidRPr="004F679B"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4F679B" w14:paraId="7BCDCC10" w14:textId="77777777" w:rsidTr="00AD7252">
        <w:trPr>
          <w:tblHeader/>
        </w:trPr>
        <w:tc>
          <w:tcPr>
            <w:tcW w:w="8364" w:type="dxa"/>
            <w:gridSpan w:val="3"/>
            <w:tcBorders>
              <w:top w:val="single" w:sz="12" w:space="0" w:color="auto"/>
              <w:bottom w:val="single" w:sz="6" w:space="0" w:color="auto"/>
            </w:tcBorders>
            <w:hideMark/>
          </w:tcPr>
          <w:p w14:paraId="312BE3C5" w14:textId="77777777" w:rsidR="005452CC" w:rsidRPr="004F679B" w:rsidRDefault="005452CC" w:rsidP="00612709">
            <w:pPr>
              <w:pStyle w:val="TableHeading"/>
            </w:pPr>
            <w:r w:rsidRPr="004F679B">
              <w:t>Commencement information</w:t>
            </w:r>
          </w:p>
        </w:tc>
      </w:tr>
      <w:tr w:rsidR="005452CC" w:rsidRPr="004F679B" w14:paraId="32F018AF" w14:textId="77777777" w:rsidTr="00AD7252">
        <w:trPr>
          <w:tblHeader/>
        </w:trPr>
        <w:tc>
          <w:tcPr>
            <w:tcW w:w="2127" w:type="dxa"/>
            <w:tcBorders>
              <w:top w:val="single" w:sz="6" w:space="0" w:color="auto"/>
              <w:bottom w:val="single" w:sz="6" w:space="0" w:color="auto"/>
            </w:tcBorders>
            <w:hideMark/>
          </w:tcPr>
          <w:p w14:paraId="211A774D" w14:textId="77777777" w:rsidR="005452CC" w:rsidRPr="004F679B" w:rsidRDefault="005452CC" w:rsidP="00612709">
            <w:pPr>
              <w:pStyle w:val="TableHeading"/>
            </w:pPr>
            <w:r w:rsidRPr="004F679B">
              <w:t>Column 1</w:t>
            </w:r>
          </w:p>
        </w:tc>
        <w:tc>
          <w:tcPr>
            <w:tcW w:w="4394" w:type="dxa"/>
            <w:tcBorders>
              <w:top w:val="single" w:sz="6" w:space="0" w:color="auto"/>
              <w:bottom w:val="single" w:sz="6" w:space="0" w:color="auto"/>
            </w:tcBorders>
            <w:hideMark/>
          </w:tcPr>
          <w:p w14:paraId="0F5F979F" w14:textId="77777777" w:rsidR="005452CC" w:rsidRPr="004F679B" w:rsidRDefault="005452CC" w:rsidP="00612709">
            <w:pPr>
              <w:pStyle w:val="TableHeading"/>
            </w:pPr>
            <w:r w:rsidRPr="004F679B">
              <w:t>Column 2</w:t>
            </w:r>
          </w:p>
        </w:tc>
        <w:tc>
          <w:tcPr>
            <w:tcW w:w="1843" w:type="dxa"/>
            <w:tcBorders>
              <w:top w:val="single" w:sz="6" w:space="0" w:color="auto"/>
              <w:bottom w:val="single" w:sz="6" w:space="0" w:color="auto"/>
            </w:tcBorders>
            <w:hideMark/>
          </w:tcPr>
          <w:p w14:paraId="61486FA6" w14:textId="77777777" w:rsidR="005452CC" w:rsidRPr="004F679B" w:rsidRDefault="005452CC" w:rsidP="00612709">
            <w:pPr>
              <w:pStyle w:val="TableHeading"/>
            </w:pPr>
            <w:r w:rsidRPr="004F679B">
              <w:t>Column 3</w:t>
            </w:r>
          </w:p>
        </w:tc>
      </w:tr>
      <w:tr w:rsidR="005452CC" w:rsidRPr="004F679B" w14:paraId="777A7BE1" w14:textId="77777777" w:rsidTr="00AD7252">
        <w:trPr>
          <w:tblHeader/>
        </w:trPr>
        <w:tc>
          <w:tcPr>
            <w:tcW w:w="2127" w:type="dxa"/>
            <w:tcBorders>
              <w:top w:val="single" w:sz="6" w:space="0" w:color="auto"/>
              <w:bottom w:val="single" w:sz="12" w:space="0" w:color="auto"/>
            </w:tcBorders>
            <w:hideMark/>
          </w:tcPr>
          <w:p w14:paraId="3FEFC233" w14:textId="77777777" w:rsidR="005452CC" w:rsidRPr="004F679B" w:rsidRDefault="005452CC" w:rsidP="00612709">
            <w:pPr>
              <w:pStyle w:val="TableHeading"/>
            </w:pPr>
            <w:r w:rsidRPr="004F679B">
              <w:t>Provisions</w:t>
            </w:r>
          </w:p>
        </w:tc>
        <w:tc>
          <w:tcPr>
            <w:tcW w:w="4394" w:type="dxa"/>
            <w:tcBorders>
              <w:top w:val="single" w:sz="6" w:space="0" w:color="auto"/>
              <w:bottom w:val="single" w:sz="12" w:space="0" w:color="auto"/>
            </w:tcBorders>
            <w:hideMark/>
          </w:tcPr>
          <w:p w14:paraId="6BF9E316" w14:textId="77777777" w:rsidR="005452CC" w:rsidRPr="004F679B" w:rsidRDefault="005452CC" w:rsidP="00612709">
            <w:pPr>
              <w:pStyle w:val="TableHeading"/>
            </w:pPr>
            <w:r w:rsidRPr="004F679B">
              <w:t>Commencement</w:t>
            </w:r>
          </w:p>
        </w:tc>
        <w:tc>
          <w:tcPr>
            <w:tcW w:w="1843" w:type="dxa"/>
            <w:tcBorders>
              <w:top w:val="single" w:sz="6" w:space="0" w:color="auto"/>
              <w:bottom w:val="single" w:sz="12" w:space="0" w:color="auto"/>
            </w:tcBorders>
            <w:hideMark/>
          </w:tcPr>
          <w:p w14:paraId="6C89A48C" w14:textId="77777777" w:rsidR="005452CC" w:rsidRPr="004F679B" w:rsidRDefault="005452CC" w:rsidP="00612709">
            <w:pPr>
              <w:pStyle w:val="TableHeading"/>
            </w:pPr>
            <w:r w:rsidRPr="004F679B">
              <w:t>Date/Details</w:t>
            </w:r>
          </w:p>
        </w:tc>
      </w:tr>
      <w:tr w:rsidR="005452CC" w:rsidRPr="004F679B" w14:paraId="35ADE664" w14:textId="77777777" w:rsidTr="00AD7252">
        <w:tc>
          <w:tcPr>
            <w:tcW w:w="2127" w:type="dxa"/>
            <w:tcBorders>
              <w:top w:val="single" w:sz="12" w:space="0" w:color="auto"/>
              <w:bottom w:val="single" w:sz="12" w:space="0" w:color="auto"/>
            </w:tcBorders>
            <w:hideMark/>
          </w:tcPr>
          <w:p w14:paraId="30EF4BAB" w14:textId="77777777" w:rsidR="005452CC" w:rsidRPr="004F679B" w:rsidRDefault="005452CC" w:rsidP="00AD7252">
            <w:pPr>
              <w:pStyle w:val="Tabletext"/>
            </w:pPr>
            <w:r w:rsidRPr="004F679B">
              <w:t xml:space="preserve">1.  </w:t>
            </w:r>
            <w:r w:rsidR="00AD7252" w:rsidRPr="004F679B">
              <w:t xml:space="preserve">The whole of </w:t>
            </w:r>
            <w:r w:rsidR="00C5035E" w:rsidRPr="004F679B">
              <w:t>this instrument</w:t>
            </w:r>
          </w:p>
        </w:tc>
        <w:tc>
          <w:tcPr>
            <w:tcW w:w="4394" w:type="dxa"/>
            <w:tcBorders>
              <w:top w:val="single" w:sz="12" w:space="0" w:color="auto"/>
              <w:bottom w:val="single" w:sz="12" w:space="0" w:color="auto"/>
            </w:tcBorders>
            <w:hideMark/>
          </w:tcPr>
          <w:p w14:paraId="6736AC5F" w14:textId="60B47BC5" w:rsidR="005452CC" w:rsidRPr="004F679B" w:rsidRDefault="004D3821" w:rsidP="005452CC">
            <w:pPr>
              <w:pStyle w:val="Tabletext"/>
            </w:pPr>
            <w:r w:rsidRPr="004F679B">
              <w:t xml:space="preserve">Immediately after the commencement of the </w:t>
            </w:r>
            <w:r w:rsidRPr="004F679B">
              <w:rPr>
                <w:i/>
                <w:iCs/>
              </w:rPr>
              <w:t>Anti</w:t>
            </w:r>
            <w:r w:rsidR="004F679B">
              <w:rPr>
                <w:i/>
                <w:iCs/>
              </w:rPr>
              <w:noBreakHyphen/>
            </w:r>
            <w:r w:rsidRPr="004F679B">
              <w:rPr>
                <w:i/>
                <w:iCs/>
              </w:rPr>
              <w:t>Money Laundering and Counter</w:t>
            </w:r>
            <w:r w:rsidR="004F679B">
              <w:rPr>
                <w:i/>
                <w:iCs/>
              </w:rPr>
              <w:noBreakHyphen/>
            </w:r>
            <w:r w:rsidRPr="004F679B">
              <w:rPr>
                <w:i/>
                <w:iCs/>
              </w:rPr>
              <w:t>Terrorism Financing Rules 2025</w:t>
            </w:r>
            <w:r w:rsidRPr="004F679B">
              <w:t>.</w:t>
            </w:r>
          </w:p>
        </w:tc>
        <w:tc>
          <w:tcPr>
            <w:tcW w:w="1843" w:type="dxa"/>
            <w:tcBorders>
              <w:top w:val="single" w:sz="12" w:space="0" w:color="auto"/>
              <w:bottom w:val="single" w:sz="12" w:space="0" w:color="auto"/>
            </w:tcBorders>
          </w:tcPr>
          <w:p w14:paraId="377F9CC4" w14:textId="6412DC47" w:rsidR="005452CC" w:rsidRPr="004F679B" w:rsidRDefault="00554655">
            <w:pPr>
              <w:pStyle w:val="Tabletext"/>
            </w:pPr>
            <w:r>
              <w:t>31 March 2026</w:t>
            </w:r>
          </w:p>
        </w:tc>
      </w:tr>
    </w:tbl>
    <w:p w14:paraId="6B6C6656" w14:textId="77777777" w:rsidR="005452CC" w:rsidRPr="004F679B" w:rsidRDefault="005452CC" w:rsidP="00D21F74">
      <w:pPr>
        <w:pStyle w:val="notetext"/>
      </w:pPr>
      <w:r w:rsidRPr="004F679B">
        <w:rPr>
          <w:snapToGrid w:val="0"/>
          <w:lang w:eastAsia="en-US"/>
        </w:rPr>
        <w:t>Note:</w:t>
      </w:r>
      <w:r w:rsidRPr="004F679B">
        <w:rPr>
          <w:snapToGrid w:val="0"/>
          <w:lang w:eastAsia="en-US"/>
        </w:rPr>
        <w:tab/>
        <w:t xml:space="preserve">This table relates only to the provisions of </w:t>
      </w:r>
      <w:r w:rsidR="00C5035E" w:rsidRPr="004F679B">
        <w:rPr>
          <w:snapToGrid w:val="0"/>
          <w:lang w:eastAsia="en-US"/>
        </w:rPr>
        <w:t>this instrument</w:t>
      </w:r>
      <w:r w:rsidRPr="004F679B">
        <w:t xml:space="preserve"> </w:t>
      </w:r>
      <w:r w:rsidRPr="004F679B">
        <w:rPr>
          <w:snapToGrid w:val="0"/>
          <w:lang w:eastAsia="en-US"/>
        </w:rPr>
        <w:t xml:space="preserve">as originally made. It will not be amended to deal with any later amendments of </w:t>
      </w:r>
      <w:r w:rsidR="00C5035E" w:rsidRPr="004F679B">
        <w:rPr>
          <w:snapToGrid w:val="0"/>
          <w:lang w:eastAsia="en-US"/>
        </w:rPr>
        <w:t>this instrument</w:t>
      </w:r>
      <w:r w:rsidRPr="004F679B">
        <w:rPr>
          <w:snapToGrid w:val="0"/>
          <w:lang w:eastAsia="en-US"/>
        </w:rPr>
        <w:t>.</w:t>
      </w:r>
    </w:p>
    <w:p w14:paraId="389EF38B" w14:textId="77777777" w:rsidR="005452CC" w:rsidRPr="004F679B" w:rsidRDefault="005452CC" w:rsidP="004F676E">
      <w:pPr>
        <w:pStyle w:val="subsection"/>
      </w:pPr>
      <w:r w:rsidRPr="004F679B">
        <w:tab/>
        <w:t>(2)</w:t>
      </w:r>
      <w:r w:rsidRPr="004F679B">
        <w:tab/>
        <w:t xml:space="preserve">Any information in column 3 of the table is not part of </w:t>
      </w:r>
      <w:r w:rsidR="00C5035E" w:rsidRPr="004F679B">
        <w:t>this instrument</w:t>
      </w:r>
      <w:r w:rsidRPr="004F679B">
        <w:t xml:space="preserve">. Information may be inserted in this column, or information in it may be edited, in any published version of </w:t>
      </w:r>
      <w:r w:rsidR="00C5035E" w:rsidRPr="004F679B">
        <w:t>this instrument</w:t>
      </w:r>
      <w:r w:rsidRPr="004F679B">
        <w:t>.</w:t>
      </w:r>
    </w:p>
    <w:p w14:paraId="44F1F08A" w14:textId="77777777" w:rsidR="00BF6650" w:rsidRPr="004F679B" w:rsidRDefault="00BF6650" w:rsidP="00BF6650">
      <w:pPr>
        <w:pStyle w:val="ActHead5"/>
      </w:pPr>
      <w:bookmarkStart w:id="2" w:name="_Toc221271705"/>
      <w:r w:rsidRPr="004F679B">
        <w:t>3  Authority</w:t>
      </w:r>
      <w:bookmarkEnd w:id="2"/>
    </w:p>
    <w:p w14:paraId="10A5BE32" w14:textId="28CBCA18" w:rsidR="00BF6650" w:rsidRPr="004F679B" w:rsidRDefault="00BF6650" w:rsidP="00BF6650">
      <w:pPr>
        <w:pStyle w:val="subsection"/>
      </w:pPr>
      <w:r w:rsidRPr="004F679B">
        <w:tab/>
      </w:r>
      <w:r w:rsidRPr="004F679B">
        <w:tab/>
      </w:r>
      <w:r w:rsidR="00C5035E" w:rsidRPr="004F679B">
        <w:t>This instrument is</w:t>
      </w:r>
      <w:r w:rsidRPr="004F679B">
        <w:t xml:space="preserve"> made under the </w:t>
      </w:r>
      <w:r w:rsidR="004D3821" w:rsidRPr="004F679B">
        <w:rPr>
          <w:i/>
          <w:iCs/>
        </w:rPr>
        <w:t>Anti</w:t>
      </w:r>
      <w:r w:rsidR="004F679B">
        <w:rPr>
          <w:i/>
          <w:iCs/>
        </w:rPr>
        <w:noBreakHyphen/>
      </w:r>
      <w:r w:rsidR="004D3821" w:rsidRPr="004F679B">
        <w:rPr>
          <w:i/>
          <w:iCs/>
        </w:rPr>
        <w:t>Money Laundering and Counter</w:t>
      </w:r>
      <w:r w:rsidR="004F679B">
        <w:rPr>
          <w:i/>
          <w:iCs/>
        </w:rPr>
        <w:noBreakHyphen/>
      </w:r>
      <w:r w:rsidR="004D3821" w:rsidRPr="004F679B">
        <w:rPr>
          <w:i/>
          <w:iCs/>
        </w:rPr>
        <w:t>Terrorism Financing Act 2006</w:t>
      </w:r>
      <w:r w:rsidR="00546FA3" w:rsidRPr="004F679B">
        <w:t>.</w:t>
      </w:r>
    </w:p>
    <w:p w14:paraId="417E3265" w14:textId="77777777" w:rsidR="00557C7A" w:rsidRPr="004F679B" w:rsidRDefault="00BF6650" w:rsidP="00557C7A">
      <w:pPr>
        <w:pStyle w:val="ActHead5"/>
      </w:pPr>
      <w:bookmarkStart w:id="3" w:name="_Toc221271706"/>
      <w:r w:rsidRPr="004F679B">
        <w:t>4</w:t>
      </w:r>
      <w:r w:rsidR="00557C7A" w:rsidRPr="004F679B">
        <w:t xml:space="preserve">  </w:t>
      </w:r>
      <w:r w:rsidR="00083F48" w:rsidRPr="004F679B">
        <w:t>Schedules</w:t>
      </w:r>
      <w:bookmarkEnd w:id="3"/>
    </w:p>
    <w:p w14:paraId="5E6A839C" w14:textId="3305C17B" w:rsidR="00674769" w:rsidRPr="004F679B" w:rsidRDefault="00557C7A" w:rsidP="00800ACB">
      <w:pPr>
        <w:pStyle w:val="subsection"/>
      </w:pPr>
      <w:r w:rsidRPr="004F679B">
        <w:tab/>
      </w:r>
      <w:r w:rsidRPr="004F679B">
        <w:tab/>
      </w:r>
      <w:r w:rsidR="00083F48" w:rsidRPr="004F679B">
        <w:t xml:space="preserve">Each </w:t>
      </w:r>
      <w:r w:rsidR="00160BD7" w:rsidRPr="004F679B">
        <w:t>instrument</w:t>
      </w:r>
      <w:r w:rsidR="00083F48" w:rsidRPr="004F679B">
        <w:t xml:space="preserve"> that is specified in a Schedule to </w:t>
      </w:r>
      <w:r w:rsidR="00C5035E" w:rsidRPr="004F679B">
        <w:t>this instrument</w:t>
      </w:r>
      <w:r w:rsidR="00083F48" w:rsidRPr="004F679B">
        <w:t xml:space="preserve"> is amended or repealed as set out in the applicable items in the Schedule concerned, and any other item in a Schedule to </w:t>
      </w:r>
      <w:r w:rsidR="00C5035E" w:rsidRPr="004F679B">
        <w:t>this instrument</w:t>
      </w:r>
      <w:r w:rsidR="00083F48" w:rsidRPr="004F679B">
        <w:t xml:space="preserve"> has effect according to its terms.</w:t>
      </w:r>
    </w:p>
    <w:p w14:paraId="3747D3C3" w14:textId="77777777" w:rsidR="0048364F" w:rsidRPr="004F679B" w:rsidRDefault="0048364F" w:rsidP="009C5989">
      <w:pPr>
        <w:pStyle w:val="ActHead6"/>
        <w:pageBreakBefore/>
      </w:pPr>
      <w:bookmarkStart w:id="4" w:name="_Toc221271707"/>
      <w:r w:rsidRPr="004F679B">
        <w:rPr>
          <w:rStyle w:val="CharAmSchNo"/>
        </w:rPr>
        <w:lastRenderedPageBreak/>
        <w:t>Schedule 1</w:t>
      </w:r>
      <w:r w:rsidRPr="004F679B">
        <w:t>—</w:t>
      </w:r>
      <w:r w:rsidR="00460499" w:rsidRPr="004F679B">
        <w:rPr>
          <w:rStyle w:val="CharAmSchText"/>
        </w:rPr>
        <w:t>Amendments</w:t>
      </w:r>
      <w:bookmarkEnd w:id="4"/>
    </w:p>
    <w:p w14:paraId="5993A7D8" w14:textId="77777777" w:rsidR="0004044E" w:rsidRPr="004F679B" w:rsidRDefault="0004044E" w:rsidP="0004044E">
      <w:pPr>
        <w:pStyle w:val="Header"/>
      </w:pPr>
      <w:r w:rsidRPr="004F679B">
        <w:t xml:space="preserve">  </w:t>
      </w:r>
    </w:p>
    <w:p w14:paraId="303D0277" w14:textId="6133B967" w:rsidR="004D3821" w:rsidRPr="004F679B" w:rsidRDefault="004D3821" w:rsidP="004D3821">
      <w:pPr>
        <w:pStyle w:val="ActHead9"/>
      </w:pPr>
      <w:bookmarkStart w:id="5" w:name="_Toc221271708"/>
      <w:r w:rsidRPr="004F679B">
        <w:t>Anti</w:t>
      </w:r>
      <w:r w:rsidR="004F679B">
        <w:noBreakHyphen/>
      </w:r>
      <w:r w:rsidRPr="004F679B">
        <w:t>Money Laundering and Counter</w:t>
      </w:r>
      <w:r w:rsidR="004F679B">
        <w:noBreakHyphen/>
      </w:r>
      <w:r w:rsidRPr="004F679B">
        <w:t xml:space="preserve">Terrorism Financing </w:t>
      </w:r>
      <w:r w:rsidR="000F4E82">
        <w:t xml:space="preserve">(Class Exemptions and Other Matters) </w:t>
      </w:r>
      <w:r w:rsidRPr="004F679B">
        <w:t>Rules 2007</w:t>
      </w:r>
      <w:bookmarkEnd w:id="5"/>
    </w:p>
    <w:p w14:paraId="1FE7CA74" w14:textId="16144D51" w:rsidR="000D04D7" w:rsidRPr="004F679B" w:rsidRDefault="00E930BB" w:rsidP="004D3821">
      <w:pPr>
        <w:pStyle w:val="ItemHead"/>
      </w:pPr>
      <w:r w:rsidRPr="004F679B">
        <w:t>1</w:t>
      </w:r>
      <w:r w:rsidR="000D04D7" w:rsidRPr="004F679B">
        <w:t xml:space="preserve">  Paragraph 1.2</w:t>
      </w:r>
      <w:r w:rsidR="00772AA6">
        <w:t>.</w:t>
      </w:r>
      <w:r w:rsidR="000D04D7" w:rsidRPr="004F679B">
        <w:t>1</w:t>
      </w:r>
    </w:p>
    <w:p w14:paraId="2E53565E" w14:textId="389EF38B" w:rsidR="000D04D7" w:rsidRPr="004F679B" w:rsidRDefault="000D04D7" w:rsidP="000D04D7">
      <w:pPr>
        <w:pStyle w:val="Item"/>
      </w:pPr>
      <w:r w:rsidRPr="004F679B">
        <w:t>Insert:</w:t>
      </w:r>
    </w:p>
    <w:p w14:paraId="5E340E7F" w14:textId="17314D94" w:rsidR="005E505D" w:rsidRPr="004F679B" w:rsidRDefault="000D04D7" w:rsidP="008B6FF7">
      <w:pPr>
        <w:pStyle w:val="Definition"/>
        <w:rPr>
          <w:i/>
        </w:rPr>
      </w:pPr>
      <w:r w:rsidRPr="008B6FF7">
        <w:rPr>
          <w:b/>
          <w:bCs/>
          <w:i/>
          <w:iCs/>
        </w:rPr>
        <w:t>gift card</w:t>
      </w:r>
      <w:r w:rsidRPr="004F679B">
        <w:rPr>
          <w:b/>
          <w:bCs/>
        </w:rPr>
        <w:t xml:space="preserve"> </w:t>
      </w:r>
      <w:r w:rsidRPr="004F679B">
        <w:t xml:space="preserve">means a stored value card that is a gift card within the meaning of Schedule 2 to the </w:t>
      </w:r>
      <w:r w:rsidRPr="008B6FF7">
        <w:rPr>
          <w:i/>
          <w:iCs/>
        </w:rPr>
        <w:t>Competition and Consumer Act 2010</w:t>
      </w:r>
      <w:r w:rsidRPr="004F679B">
        <w:t xml:space="preserve"> (the Australian Consumer Law).</w:t>
      </w:r>
    </w:p>
    <w:p w14:paraId="2F94683F" w14:textId="2D293910" w:rsidR="004D3821" w:rsidRPr="004F679B" w:rsidRDefault="00E930BB" w:rsidP="004D3821">
      <w:pPr>
        <w:pStyle w:val="ItemHead"/>
      </w:pPr>
      <w:r w:rsidRPr="004F679B">
        <w:t>2</w:t>
      </w:r>
      <w:r w:rsidR="004D3821" w:rsidRPr="004F679B">
        <w:t xml:space="preserve">  After Chapter 1</w:t>
      </w:r>
    </w:p>
    <w:p w14:paraId="6B700AA2" w14:textId="77777777" w:rsidR="004D3821" w:rsidRPr="004F679B" w:rsidRDefault="004D3821" w:rsidP="004D3821">
      <w:pPr>
        <w:pStyle w:val="Item"/>
      </w:pPr>
      <w:r w:rsidRPr="004F679B">
        <w:t>Insert:</w:t>
      </w:r>
    </w:p>
    <w:p w14:paraId="4454C936" w14:textId="77777777" w:rsidR="004D3821" w:rsidRPr="004F679B" w:rsidRDefault="004D3821" w:rsidP="004D3821">
      <w:pPr>
        <w:pStyle w:val="ActHead1"/>
      </w:pPr>
      <w:bookmarkStart w:id="6" w:name="_Toc221271709"/>
      <w:r w:rsidRPr="004F679B">
        <w:t>Chapter 2</w:t>
      </w:r>
      <w:r w:rsidRPr="004F679B">
        <w:tab/>
        <w:t>Matters relating to professional services</w:t>
      </w:r>
      <w:bookmarkEnd w:id="6"/>
    </w:p>
    <w:p w14:paraId="03B7E6E0" w14:textId="77777777" w:rsidR="004D3821" w:rsidRPr="004F679B" w:rsidRDefault="004D3821" w:rsidP="004D3821">
      <w:pPr>
        <w:pStyle w:val="ActHead5"/>
      </w:pPr>
      <w:bookmarkStart w:id="7" w:name="_Toc221271710"/>
      <w:r w:rsidRPr="004F679B">
        <w:t>2.1  Circumstances covered by subsection 6(5C) of the AML/CTF Act</w:t>
      </w:r>
      <w:bookmarkEnd w:id="7"/>
    </w:p>
    <w:p w14:paraId="4120D313" w14:textId="3B1A8088" w:rsidR="004D3821" w:rsidRPr="004F679B" w:rsidRDefault="004D3821" w:rsidP="004D3821">
      <w:pPr>
        <w:pStyle w:val="subsection"/>
      </w:pPr>
      <w:r w:rsidRPr="004F679B">
        <w:tab/>
      </w:r>
      <w:r w:rsidRPr="004F679B">
        <w:tab/>
        <w:t xml:space="preserve">For the purposes of paragraph 6(5C)(f) of the AML/CTF Act, a specified circumstance is that any of the following things mentioned in item 3 of table 6 in section 6 of the Act are being received, held, controlled or managed as part of the provision by a real estate agent of the service of managing rental income </w:t>
      </w:r>
      <w:r w:rsidR="00B93AF2">
        <w:t xml:space="preserve">and expenses </w:t>
      </w:r>
      <w:r w:rsidRPr="004F679B">
        <w:t>through a trust account:</w:t>
      </w:r>
    </w:p>
    <w:p w14:paraId="234E667B" w14:textId="77777777" w:rsidR="004D3821" w:rsidRPr="004F679B" w:rsidRDefault="004D3821" w:rsidP="004D3821">
      <w:pPr>
        <w:pStyle w:val="paragraph"/>
      </w:pPr>
      <w:r w:rsidRPr="004F679B">
        <w:tab/>
        <w:t>(a)</w:t>
      </w:r>
      <w:r w:rsidRPr="004F679B">
        <w:tab/>
        <w:t>money;</w:t>
      </w:r>
    </w:p>
    <w:p w14:paraId="11BE49B7" w14:textId="77777777" w:rsidR="004D3821" w:rsidRPr="004F679B" w:rsidRDefault="004D3821" w:rsidP="004D3821">
      <w:pPr>
        <w:pStyle w:val="paragraph"/>
      </w:pPr>
      <w:r w:rsidRPr="004F679B">
        <w:tab/>
        <w:t>(b)</w:t>
      </w:r>
      <w:r w:rsidRPr="004F679B">
        <w:tab/>
        <w:t>accounts;</w:t>
      </w:r>
    </w:p>
    <w:p w14:paraId="4C1E9A77" w14:textId="77777777" w:rsidR="004D3821" w:rsidRPr="004F679B" w:rsidRDefault="004D3821" w:rsidP="004D3821">
      <w:pPr>
        <w:pStyle w:val="paragraph"/>
      </w:pPr>
      <w:r w:rsidRPr="004F679B">
        <w:tab/>
        <w:t>(c)</w:t>
      </w:r>
      <w:r w:rsidRPr="004F679B">
        <w:tab/>
        <w:t>other property.</w:t>
      </w:r>
    </w:p>
    <w:p w14:paraId="78324515" w14:textId="77777777" w:rsidR="00E054EC" w:rsidRPr="004F679B" w:rsidRDefault="004D3821" w:rsidP="00E054EC">
      <w:pPr>
        <w:pStyle w:val="notetext"/>
      </w:pPr>
      <w:r w:rsidRPr="004F679B">
        <w:t>Note:</w:t>
      </w:r>
      <w:r w:rsidRPr="004F679B">
        <w:tab/>
        <w:t>Subsection 6(5C) of the AML/CTF Act sets out circumstances in which a service is not covered by item 3 of table 6 in section 6.</w:t>
      </w:r>
    </w:p>
    <w:p w14:paraId="0AE1C610" w14:textId="47D2AC8C" w:rsidR="004D3821" w:rsidRPr="004F679B" w:rsidRDefault="004D3821" w:rsidP="00E054EC">
      <w:pPr>
        <w:pStyle w:val="ActHead1"/>
      </w:pPr>
      <w:bookmarkStart w:id="8" w:name="_Toc221271711"/>
      <w:r w:rsidRPr="004F679B">
        <w:t xml:space="preserve">Chapter </w:t>
      </w:r>
      <w:r w:rsidR="00571029" w:rsidRPr="004F679B">
        <w:t>3</w:t>
      </w:r>
      <w:r w:rsidRPr="004F679B">
        <w:tab/>
        <w:t>Exemption from initial customer due diligence—automatic teller machines</w:t>
      </w:r>
      <w:bookmarkEnd w:id="8"/>
    </w:p>
    <w:p w14:paraId="127800EC" w14:textId="1D7DB502" w:rsidR="004D3821" w:rsidRPr="004F679B" w:rsidRDefault="00571029" w:rsidP="004D3821">
      <w:pPr>
        <w:pStyle w:val="ActHead5"/>
      </w:pPr>
      <w:bookmarkStart w:id="9" w:name="_Toc221271712"/>
      <w:r w:rsidRPr="004F679B">
        <w:t>3</w:t>
      </w:r>
      <w:r w:rsidR="004D3821" w:rsidRPr="004F679B">
        <w:t>.1  Exemption</w:t>
      </w:r>
      <w:bookmarkEnd w:id="9"/>
    </w:p>
    <w:p w14:paraId="20C81E8D" w14:textId="77777777" w:rsidR="004D3821" w:rsidRPr="004F679B" w:rsidRDefault="004D3821" w:rsidP="004D3821">
      <w:pPr>
        <w:pStyle w:val="subsection"/>
      </w:pPr>
      <w:r w:rsidRPr="004F679B">
        <w:tab/>
      </w:r>
      <w:r w:rsidRPr="004F679B">
        <w:tab/>
        <w:t>For the purposes of subsection 39(3) of the AML/CTF Act, section 28 of that Act does not apply to a designated service if all of the following apply:</w:t>
      </w:r>
    </w:p>
    <w:p w14:paraId="3848BF45" w14:textId="77777777" w:rsidR="004D3821" w:rsidRPr="004F679B" w:rsidRDefault="004D3821" w:rsidP="004D3821">
      <w:pPr>
        <w:pStyle w:val="paragraph"/>
      </w:pPr>
      <w:r w:rsidRPr="004F679B">
        <w:tab/>
        <w:t>(a)</w:t>
      </w:r>
      <w:r w:rsidRPr="004F679B">
        <w:tab/>
        <w:t>the service is covered by item 30 of table 1 in section 6 of that Act;</w:t>
      </w:r>
    </w:p>
    <w:p w14:paraId="59DE8ECF" w14:textId="77777777" w:rsidR="004D3821" w:rsidRPr="004F679B" w:rsidRDefault="004D3821" w:rsidP="004D3821">
      <w:pPr>
        <w:pStyle w:val="paragraph"/>
      </w:pPr>
      <w:r w:rsidRPr="004F679B">
        <w:tab/>
        <w:t>(b)</w:t>
      </w:r>
      <w:r w:rsidRPr="004F679B">
        <w:tab/>
        <w:t>the provision of the service is an occasional transaction;</w:t>
      </w:r>
    </w:p>
    <w:p w14:paraId="4A1985BF" w14:textId="77777777" w:rsidR="004D3821" w:rsidRPr="004F679B" w:rsidRDefault="004D3821" w:rsidP="004D3821">
      <w:pPr>
        <w:pStyle w:val="paragraph"/>
      </w:pPr>
      <w:r w:rsidRPr="004F679B">
        <w:tab/>
        <w:t>(c)</w:t>
      </w:r>
      <w:r w:rsidRPr="004F679B">
        <w:tab/>
        <w:t>the instruction for transfer of value was for the withdrawal of money from an account held with a financial institution;</w:t>
      </w:r>
    </w:p>
    <w:p w14:paraId="502CD577" w14:textId="77777777" w:rsidR="004D3821" w:rsidRPr="004F679B" w:rsidRDefault="004D3821" w:rsidP="004D3821">
      <w:pPr>
        <w:pStyle w:val="paragraph"/>
      </w:pPr>
      <w:r w:rsidRPr="004F679B">
        <w:tab/>
        <w:t>(d)</w:t>
      </w:r>
      <w:r w:rsidRPr="004F679B">
        <w:tab/>
        <w:t>the instruction was given by the use of an ATM;</w:t>
      </w:r>
    </w:p>
    <w:p w14:paraId="63061157" w14:textId="77777777" w:rsidR="004D3821" w:rsidRPr="004F679B" w:rsidRDefault="004D3821" w:rsidP="004D3821">
      <w:pPr>
        <w:pStyle w:val="paragraph"/>
      </w:pPr>
      <w:r w:rsidRPr="004F679B">
        <w:tab/>
        <w:t>(e)</w:t>
      </w:r>
      <w:r w:rsidRPr="004F679B">
        <w:tab/>
        <w:t>the value will be made available to the payee as physical currency;</w:t>
      </w:r>
    </w:p>
    <w:p w14:paraId="7AD43202" w14:textId="77777777" w:rsidR="004D3821" w:rsidRPr="004F679B" w:rsidRDefault="004D3821" w:rsidP="004D3821">
      <w:pPr>
        <w:pStyle w:val="paragraph"/>
      </w:pPr>
      <w:r w:rsidRPr="004F679B">
        <w:tab/>
        <w:t>(f)</w:t>
      </w:r>
      <w:r w:rsidRPr="004F679B">
        <w:tab/>
        <w:t>the total value transferred as a result of the designated service, and any other services covered by item 30 of table 1 in section 6 of the AML/CTF Act that are linked or appear to be linked, is less than $10,000.</w:t>
      </w:r>
    </w:p>
    <w:p w14:paraId="398F7D26" w14:textId="5E23FB6E" w:rsidR="004D3821" w:rsidRPr="004F679B" w:rsidRDefault="00571029" w:rsidP="004D3821">
      <w:pPr>
        <w:pStyle w:val="ActHead5"/>
      </w:pPr>
      <w:bookmarkStart w:id="10" w:name="_Toc221271713"/>
      <w:r w:rsidRPr="004F679B">
        <w:lastRenderedPageBreak/>
        <w:t>3</w:t>
      </w:r>
      <w:r w:rsidR="004D3821" w:rsidRPr="004F679B">
        <w:t>.2  Repeal</w:t>
      </w:r>
      <w:bookmarkEnd w:id="10"/>
    </w:p>
    <w:p w14:paraId="2BE42200" w14:textId="77777777" w:rsidR="00E054EC" w:rsidRPr="004F679B" w:rsidRDefault="004D3821" w:rsidP="00E054EC">
      <w:pPr>
        <w:pStyle w:val="subsection"/>
      </w:pPr>
      <w:r w:rsidRPr="004F679B">
        <w:tab/>
      </w:r>
      <w:r w:rsidRPr="004F679B">
        <w:tab/>
        <w:t>This Chapter is repealed on 31 March 2036.</w:t>
      </w:r>
    </w:p>
    <w:p w14:paraId="14B2B869" w14:textId="66C4B186" w:rsidR="004D3821" w:rsidRPr="004F679B" w:rsidRDefault="004D3821" w:rsidP="00E054EC">
      <w:pPr>
        <w:pStyle w:val="ActHead1"/>
      </w:pPr>
      <w:bookmarkStart w:id="11" w:name="_Toc221271714"/>
      <w:r w:rsidRPr="004F679B">
        <w:t xml:space="preserve">Chapter </w:t>
      </w:r>
      <w:r w:rsidR="00571029" w:rsidRPr="004F679B">
        <w:t>4</w:t>
      </w:r>
      <w:r w:rsidRPr="004F679B">
        <w:tab/>
        <w:t>Exemption from initial customer due diligence—transfer of value to self</w:t>
      </w:r>
      <w:r w:rsidR="004F679B">
        <w:noBreakHyphen/>
      </w:r>
      <w:r w:rsidRPr="004F679B">
        <w:t>hosted virtual asset wallet</w:t>
      </w:r>
      <w:bookmarkEnd w:id="11"/>
    </w:p>
    <w:p w14:paraId="275952DD" w14:textId="6885A4AD" w:rsidR="004D3821" w:rsidRPr="004F679B" w:rsidRDefault="00571029" w:rsidP="004D3821">
      <w:pPr>
        <w:pStyle w:val="ActHead5"/>
      </w:pPr>
      <w:bookmarkStart w:id="12" w:name="_Toc221271715"/>
      <w:r w:rsidRPr="004F679B">
        <w:t>4</w:t>
      </w:r>
      <w:r w:rsidR="004D3821" w:rsidRPr="004F679B">
        <w:t>.1  Exemption</w:t>
      </w:r>
      <w:bookmarkEnd w:id="12"/>
    </w:p>
    <w:p w14:paraId="28CC9D09" w14:textId="77777777" w:rsidR="004D3821" w:rsidRPr="004F679B" w:rsidRDefault="004D3821" w:rsidP="004D3821">
      <w:pPr>
        <w:pStyle w:val="subsection"/>
      </w:pPr>
      <w:r w:rsidRPr="004F679B">
        <w:tab/>
      </w:r>
      <w:r w:rsidRPr="004F679B">
        <w:tab/>
        <w:t>For the purposes of subsection 39(3) of the AML/CTF Act, section 28 of that Act does not apply to a designated service if all of the following apply:</w:t>
      </w:r>
    </w:p>
    <w:p w14:paraId="4CB13750" w14:textId="77777777" w:rsidR="004D3821" w:rsidRPr="004F679B" w:rsidRDefault="004D3821" w:rsidP="004D3821">
      <w:pPr>
        <w:pStyle w:val="paragraph"/>
      </w:pPr>
      <w:r w:rsidRPr="004F679B">
        <w:tab/>
        <w:t>(a)</w:t>
      </w:r>
      <w:r w:rsidRPr="004F679B">
        <w:tab/>
        <w:t>the service is covered by item 30 of table 1 in section 6 of that Act;</w:t>
      </w:r>
    </w:p>
    <w:p w14:paraId="45A3D81F" w14:textId="77777777" w:rsidR="004D3821" w:rsidRPr="004F679B" w:rsidRDefault="004D3821" w:rsidP="004D3821">
      <w:pPr>
        <w:pStyle w:val="paragraph"/>
      </w:pPr>
      <w:r w:rsidRPr="004F679B">
        <w:tab/>
        <w:t>(b)</w:t>
      </w:r>
      <w:r w:rsidRPr="004F679B">
        <w:tab/>
        <w:t>the provision of the service is an occasional transaction;</w:t>
      </w:r>
    </w:p>
    <w:p w14:paraId="39A6F1DB" w14:textId="77777777" w:rsidR="004D3821" w:rsidRPr="004F679B" w:rsidRDefault="004D3821" w:rsidP="004D3821">
      <w:pPr>
        <w:pStyle w:val="paragraph"/>
      </w:pPr>
      <w:r w:rsidRPr="004F679B">
        <w:tab/>
        <w:t>(c)</w:t>
      </w:r>
      <w:r w:rsidRPr="004F679B">
        <w:tab/>
        <w:t>the instruction for transfer of value was for the withdrawal of virtual assets held by the reporting entity, in an account provided to the payer or otherwise on deposit for the payer (including in a virtual asset wallet);</w:t>
      </w:r>
    </w:p>
    <w:p w14:paraId="54993B2B" w14:textId="7A1FE643" w:rsidR="004D3821" w:rsidRPr="004F679B" w:rsidRDefault="004D3821" w:rsidP="004D3821">
      <w:pPr>
        <w:pStyle w:val="paragraph"/>
      </w:pPr>
      <w:r w:rsidRPr="004F679B">
        <w:tab/>
        <w:t>(d)</w:t>
      </w:r>
      <w:r w:rsidRPr="004F679B">
        <w:tab/>
        <w:t>the value will be made available to the payee by depositing virtual assets into a self</w:t>
      </w:r>
      <w:r w:rsidR="004F679B">
        <w:noBreakHyphen/>
      </w:r>
      <w:r w:rsidRPr="004F679B">
        <w:t>hosted virtual asset wallet controlled by the payee;</w:t>
      </w:r>
    </w:p>
    <w:p w14:paraId="157FCDF2" w14:textId="77777777" w:rsidR="004D3821" w:rsidRPr="004F679B" w:rsidRDefault="004D3821" w:rsidP="004D3821">
      <w:pPr>
        <w:pStyle w:val="paragraph"/>
      </w:pPr>
      <w:r w:rsidRPr="004F679B">
        <w:tab/>
        <w:t>(e)</w:t>
      </w:r>
      <w:r w:rsidRPr="004F679B">
        <w:tab/>
        <w:t>the total value transferred as a result of the designated service, and any other services covered by item 30 of table 1 in section 6 of the AML/CTF Act that are linked or appear to be linked, is less than $1,000.</w:t>
      </w:r>
    </w:p>
    <w:p w14:paraId="630C70EA" w14:textId="5B07D4AD" w:rsidR="004D3821" w:rsidRPr="004F679B" w:rsidRDefault="00571029" w:rsidP="004D3821">
      <w:pPr>
        <w:pStyle w:val="ActHead5"/>
      </w:pPr>
      <w:bookmarkStart w:id="13" w:name="_Toc221271716"/>
      <w:r w:rsidRPr="004F679B">
        <w:t>4</w:t>
      </w:r>
      <w:r w:rsidR="004D3821" w:rsidRPr="004F679B">
        <w:t>.2  Repeal</w:t>
      </w:r>
      <w:bookmarkEnd w:id="13"/>
    </w:p>
    <w:p w14:paraId="56A91F5C" w14:textId="77777777" w:rsidR="00E054EC" w:rsidRPr="004F679B" w:rsidRDefault="004D3821" w:rsidP="00E054EC">
      <w:pPr>
        <w:pStyle w:val="subsection"/>
      </w:pPr>
      <w:r w:rsidRPr="004F679B">
        <w:tab/>
      </w:r>
      <w:r w:rsidRPr="004F679B">
        <w:tab/>
        <w:t>This Chapter is repealed on 31 March 2036.</w:t>
      </w:r>
    </w:p>
    <w:p w14:paraId="1C1B84A0" w14:textId="314246F6" w:rsidR="004D3821" w:rsidRPr="004F679B" w:rsidRDefault="004D3821" w:rsidP="00E054EC">
      <w:pPr>
        <w:pStyle w:val="ActHead1"/>
      </w:pPr>
      <w:bookmarkStart w:id="14" w:name="_Toc221271717"/>
      <w:r w:rsidRPr="004F679B">
        <w:t xml:space="preserve">Chapter </w:t>
      </w:r>
      <w:r w:rsidR="00571029" w:rsidRPr="004F679B">
        <w:t>5</w:t>
      </w:r>
      <w:r w:rsidRPr="004F679B">
        <w:tab/>
        <w:t>Exemption from initial customer due diligence—transfer of value using gift card issued by reporting entity</w:t>
      </w:r>
      <w:bookmarkEnd w:id="14"/>
    </w:p>
    <w:p w14:paraId="752D45ED" w14:textId="02B7631F" w:rsidR="004D3821" w:rsidRPr="004F679B" w:rsidRDefault="00571029" w:rsidP="004D3821">
      <w:pPr>
        <w:pStyle w:val="ActHead5"/>
      </w:pPr>
      <w:bookmarkStart w:id="15" w:name="_Toc221271718"/>
      <w:r w:rsidRPr="004F679B">
        <w:t>5</w:t>
      </w:r>
      <w:r w:rsidR="004D3821" w:rsidRPr="004F679B">
        <w:t>.1  Exemption</w:t>
      </w:r>
      <w:bookmarkEnd w:id="15"/>
    </w:p>
    <w:p w14:paraId="64E08317" w14:textId="77777777" w:rsidR="004D3821" w:rsidRPr="004F679B" w:rsidRDefault="004D3821" w:rsidP="004D3821">
      <w:pPr>
        <w:pStyle w:val="subsection"/>
      </w:pPr>
      <w:r w:rsidRPr="004F679B">
        <w:tab/>
      </w:r>
      <w:r w:rsidRPr="004F679B">
        <w:tab/>
        <w:t>For the purposes of subsection 39(3) of the AML/CTF Act, section 28 of that Act does not apply to a designated service if all of the following apply:</w:t>
      </w:r>
    </w:p>
    <w:p w14:paraId="1411FC13" w14:textId="77777777" w:rsidR="004D3821" w:rsidRPr="004F679B" w:rsidRDefault="004D3821" w:rsidP="004D3821">
      <w:pPr>
        <w:pStyle w:val="paragraph"/>
      </w:pPr>
      <w:r w:rsidRPr="004F679B">
        <w:tab/>
        <w:t>(a)</w:t>
      </w:r>
      <w:r w:rsidRPr="004F679B">
        <w:tab/>
        <w:t>the service is covered by item 29 of table 1 in section 6 of the Act;</w:t>
      </w:r>
    </w:p>
    <w:p w14:paraId="11001BE7" w14:textId="77777777" w:rsidR="004D3821" w:rsidRPr="004F679B" w:rsidRDefault="004D3821" w:rsidP="004D3821">
      <w:pPr>
        <w:pStyle w:val="paragraph"/>
      </w:pPr>
      <w:r w:rsidRPr="004F679B">
        <w:tab/>
        <w:t>(b)</w:t>
      </w:r>
      <w:r w:rsidRPr="004F679B">
        <w:tab/>
        <w:t>the provision of the service is an occasional transaction;</w:t>
      </w:r>
    </w:p>
    <w:p w14:paraId="4C3B2CD5" w14:textId="77777777" w:rsidR="004D3821" w:rsidRPr="004F679B" w:rsidRDefault="004D3821" w:rsidP="004D3821">
      <w:pPr>
        <w:pStyle w:val="paragraph"/>
      </w:pPr>
      <w:r w:rsidRPr="004F679B">
        <w:tab/>
        <w:t>(c)</w:t>
      </w:r>
      <w:r w:rsidRPr="004F679B">
        <w:tab/>
        <w:t>the instruction for transfer of value is given by use of a gift card;</w:t>
      </w:r>
    </w:p>
    <w:p w14:paraId="1533BEE6" w14:textId="77777777" w:rsidR="004D3821" w:rsidRPr="004F679B" w:rsidRDefault="004D3821" w:rsidP="004D3821">
      <w:pPr>
        <w:pStyle w:val="paragraph"/>
      </w:pPr>
      <w:r w:rsidRPr="004F679B">
        <w:tab/>
        <w:t>(d)</w:t>
      </w:r>
      <w:r w:rsidRPr="004F679B">
        <w:tab/>
        <w:t>the gift card was issued by a reporting entity;</w:t>
      </w:r>
    </w:p>
    <w:p w14:paraId="7D2F3705" w14:textId="77777777" w:rsidR="004D3821" w:rsidRPr="004F679B" w:rsidRDefault="004D3821" w:rsidP="004D3821">
      <w:pPr>
        <w:pStyle w:val="paragraph"/>
      </w:pPr>
      <w:r w:rsidRPr="004F679B">
        <w:tab/>
        <w:t>(e)</w:t>
      </w:r>
      <w:r w:rsidRPr="004F679B">
        <w:tab/>
        <w:t>issuing the gift card was not a designated service;</w:t>
      </w:r>
    </w:p>
    <w:p w14:paraId="175EC73C" w14:textId="77777777" w:rsidR="004D3821" w:rsidRPr="004F679B" w:rsidRDefault="004D3821" w:rsidP="004D3821">
      <w:pPr>
        <w:pStyle w:val="paragraph"/>
      </w:pPr>
      <w:r w:rsidRPr="004F679B">
        <w:tab/>
        <w:t>(f)</w:t>
      </w:r>
      <w:r w:rsidRPr="004F679B">
        <w:tab/>
        <w:t>the monetary value stored in connection with the gift card cannot be increased (other than because of a reversal of a payment made using the card or the correction of an error);</w:t>
      </w:r>
    </w:p>
    <w:p w14:paraId="2A0E0B8F" w14:textId="77777777" w:rsidR="004D3821" w:rsidRPr="004F679B" w:rsidRDefault="004D3821" w:rsidP="004D3821">
      <w:pPr>
        <w:pStyle w:val="paragraph"/>
      </w:pPr>
      <w:r w:rsidRPr="004F679B">
        <w:tab/>
        <w:t>(g)</w:t>
      </w:r>
      <w:r w:rsidRPr="004F679B">
        <w:tab/>
        <w:t>no part of the monetary value stored in connection with the gift card may be withdrawn in cash;</w:t>
      </w:r>
    </w:p>
    <w:p w14:paraId="77DE40B7" w14:textId="77777777" w:rsidR="004D3821" w:rsidRPr="004F679B" w:rsidRDefault="004D3821" w:rsidP="004D3821">
      <w:pPr>
        <w:pStyle w:val="paragraph"/>
      </w:pPr>
      <w:r w:rsidRPr="004F679B">
        <w:tab/>
        <w:t>(h)</w:t>
      </w:r>
      <w:r w:rsidRPr="004F679B">
        <w:tab/>
        <w:t>the value to be transferred is money;</w:t>
      </w:r>
    </w:p>
    <w:p w14:paraId="2465AF88" w14:textId="77777777" w:rsidR="004D3821" w:rsidRPr="004F679B" w:rsidRDefault="004D3821" w:rsidP="004D3821">
      <w:pPr>
        <w:pStyle w:val="paragraph"/>
      </w:pPr>
      <w:r w:rsidRPr="004F679B">
        <w:tab/>
        <w:t>(i)</w:t>
      </w:r>
      <w:r w:rsidRPr="004F679B">
        <w:tab/>
        <w:t>the gift card can only be used to make payments to merchants in Australia;</w:t>
      </w:r>
    </w:p>
    <w:p w14:paraId="6C0BC267" w14:textId="478D3CA4" w:rsidR="004D3821" w:rsidRPr="004F679B" w:rsidRDefault="004D3821" w:rsidP="004D3821">
      <w:pPr>
        <w:pStyle w:val="paragraph"/>
      </w:pPr>
      <w:r w:rsidRPr="004F679B">
        <w:lastRenderedPageBreak/>
        <w:tab/>
        <w:t>(j)</w:t>
      </w:r>
      <w:r w:rsidRPr="004F679B">
        <w:tab/>
        <w:t>the ordering institution has reasonable grounds to believe that the person responsible for administering the scheme in which the gift card can be used has taken reasonable steps to mitigate and manage the risk that the card will be used as an instrument of money laundering, financing of terrorism or other crimes.</w:t>
      </w:r>
    </w:p>
    <w:p w14:paraId="1A2DECFF" w14:textId="77777777" w:rsidR="004D3821" w:rsidRPr="004F679B" w:rsidRDefault="004D3821" w:rsidP="004D3821">
      <w:pPr>
        <w:pStyle w:val="notetext"/>
      </w:pPr>
      <w:r w:rsidRPr="004F679B">
        <w:t>Note:</w:t>
      </w:r>
      <w:r w:rsidRPr="004F679B">
        <w:tab/>
        <w:t xml:space="preserve">Subsection 63A(4) of the Act sets out circumstances in which a person is not an </w:t>
      </w:r>
      <w:r w:rsidRPr="004F679B">
        <w:rPr>
          <w:b/>
          <w:i/>
        </w:rPr>
        <w:t>ordering institution</w:t>
      </w:r>
      <w:r w:rsidRPr="004F679B">
        <w:t>.</w:t>
      </w:r>
    </w:p>
    <w:p w14:paraId="6EE9A49D" w14:textId="58E5AA1C" w:rsidR="004D3821" w:rsidRPr="004F679B" w:rsidRDefault="00571029" w:rsidP="004D3821">
      <w:pPr>
        <w:pStyle w:val="ActHead5"/>
      </w:pPr>
      <w:bookmarkStart w:id="16" w:name="_Toc221271719"/>
      <w:r w:rsidRPr="004F679B">
        <w:t>5</w:t>
      </w:r>
      <w:r w:rsidR="004D3821" w:rsidRPr="004F679B">
        <w:t>.2  Repeal</w:t>
      </w:r>
      <w:bookmarkEnd w:id="16"/>
    </w:p>
    <w:p w14:paraId="178D4EEC" w14:textId="77777777" w:rsidR="00E054EC" w:rsidRPr="004F679B" w:rsidRDefault="004D3821" w:rsidP="00E054EC">
      <w:pPr>
        <w:pStyle w:val="subsection"/>
      </w:pPr>
      <w:r w:rsidRPr="004F679B">
        <w:tab/>
      </w:r>
      <w:r w:rsidRPr="004F679B">
        <w:tab/>
        <w:t>This Chapter is repealed on 31 March 2036.</w:t>
      </w:r>
    </w:p>
    <w:p w14:paraId="4E0E1CFB" w14:textId="601EC58B" w:rsidR="004D3821" w:rsidRPr="004F679B" w:rsidRDefault="004D3821" w:rsidP="00E054EC">
      <w:pPr>
        <w:pStyle w:val="ActHead1"/>
      </w:pPr>
      <w:bookmarkStart w:id="17" w:name="_Toc221271720"/>
      <w:r w:rsidRPr="004F679B">
        <w:t xml:space="preserve">Chapter </w:t>
      </w:r>
      <w:r w:rsidR="00571029" w:rsidRPr="004F679B">
        <w:t>6</w:t>
      </w:r>
      <w:r w:rsidRPr="004F679B">
        <w:tab/>
        <w:t>Gift card issued by person not providing designated services</w:t>
      </w:r>
      <w:bookmarkEnd w:id="17"/>
    </w:p>
    <w:p w14:paraId="44F97021" w14:textId="2375ABD6" w:rsidR="004D3821" w:rsidRPr="004F679B" w:rsidRDefault="00571029" w:rsidP="004D3821">
      <w:pPr>
        <w:pStyle w:val="ActHead5"/>
      </w:pPr>
      <w:bookmarkStart w:id="18" w:name="_Toc221271721"/>
      <w:r w:rsidRPr="004F679B">
        <w:t>6</w:t>
      </w:r>
      <w:r w:rsidR="004D3821" w:rsidRPr="004F679B">
        <w:t xml:space="preserve">.1  Person who is not an </w:t>
      </w:r>
      <w:r w:rsidR="004D3821" w:rsidRPr="004F679B">
        <w:rPr>
          <w:i/>
          <w:iCs/>
        </w:rPr>
        <w:t>ordering institution</w:t>
      </w:r>
      <w:bookmarkEnd w:id="18"/>
    </w:p>
    <w:p w14:paraId="304F7CBA" w14:textId="77777777" w:rsidR="004D3821" w:rsidRPr="004F679B" w:rsidRDefault="004D3821" w:rsidP="004D3821">
      <w:pPr>
        <w:pStyle w:val="subsection"/>
      </w:pPr>
      <w:r w:rsidRPr="004F679B">
        <w:tab/>
      </w:r>
      <w:r w:rsidRPr="004F679B">
        <w:tab/>
        <w:t xml:space="preserve">For the purposes of paragraph 63A(4)(b) of the AML/CTF Act, a person is not an </w:t>
      </w:r>
      <w:r w:rsidRPr="004F679B">
        <w:rPr>
          <w:b/>
          <w:bCs/>
          <w:i/>
          <w:iCs/>
        </w:rPr>
        <w:t>ordering institution</w:t>
      </w:r>
      <w:r w:rsidRPr="004F679B">
        <w:t xml:space="preserve"> if all of the following apply:</w:t>
      </w:r>
    </w:p>
    <w:p w14:paraId="7470C422" w14:textId="77777777" w:rsidR="004D3821" w:rsidRPr="004F679B" w:rsidRDefault="004D3821" w:rsidP="004D3821">
      <w:pPr>
        <w:pStyle w:val="paragraph"/>
      </w:pPr>
      <w:r w:rsidRPr="004F679B">
        <w:tab/>
        <w:t>(a)</w:t>
      </w:r>
      <w:r w:rsidRPr="004F679B">
        <w:tab/>
        <w:t>the person accepts an instruction for the transfer of value that is given by use of a gift card;</w:t>
      </w:r>
    </w:p>
    <w:p w14:paraId="25214104" w14:textId="77777777" w:rsidR="004D3821" w:rsidRPr="004F679B" w:rsidRDefault="004D3821" w:rsidP="004D3821">
      <w:pPr>
        <w:pStyle w:val="paragraph"/>
      </w:pPr>
      <w:r w:rsidRPr="004F679B">
        <w:tab/>
        <w:t>(b)</w:t>
      </w:r>
      <w:r w:rsidRPr="004F679B">
        <w:tab/>
        <w:t>the gift card was issued by the person in the course of carrying on a retail, shopping centre or gift card business that does not otherwise involve the provision of designated services;</w:t>
      </w:r>
    </w:p>
    <w:p w14:paraId="07C80941" w14:textId="77777777" w:rsidR="004D3821" w:rsidRPr="004F679B" w:rsidRDefault="004D3821" w:rsidP="004D3821">
      <w:pPr>
        <w:pStyle w:val="paragraph"/>
      </w:pPr>
      <w:r w:rsidRPr="004F679B">
        <w:tab/>
        <w:t>(c)</w:t>
      </w:r>
      <w:r w:rsidRPr="004F679B">
        <w:tab/>
        <w:t>issuing the gift card was not a designated service;</w:t>
      </w:r>
    </w:p>
    <w:p w14:paraId="2017AB14" w14:textId="77777777" w:rsidR="004D3821" w:rsidRPr="004F679B" w:rsidRDefault="004D3821" w:rsidP="004D3821">
      <w:pPr>
        <w:pStyle w:val="paragraph"/>
      </w:pPr>
      <w:r w:rsidRPr="004F679B">
        <w:tab/>
        <w:t>(d)</w:t>
      </w:r>
      <w:r w:rsidRPr="004F679B">
        <w:tab/>
        <w:t>the monetary value stored in connection with the gift card cannot be increased (other than because of a reversal of a payment made using the card or the correction of an error);</w:t>
      </w:r>
    </w:p>
    <w:p w14:paraId="470AD50A" w14:textId="77777777" w:rsidR="004D3821" w:rsidRPr="004F679B" w:rsidRDefault="004D3821" w:rsidP="004D3821">
      <w:pPr>
        <w:pStyle w:val="paragraph"/>
      </w:pPr>
      <w:r w:rsidRPr="004F679B">
        <w:tab/>
        <w:t>(e)</w:t>
      </w:r>
      <w:r w:rsidRPr="004F679B">
        <w:tab/>
        <w:t>no part of the monetary value stored in connection with the gift card may be withdrawn in cash;</w:t>
      </w:r>
    </w:p>
    <w:p w14:paraId="059BB202" w14:textId="77777777" w:rsidR="004D3821" w:rsidRPr="004F679B" w:rsidRDefault="004D3821" w:rsidP="004D3821">
      <w:pPr>
        <w:pStyle w:val="paragraph"/>
      </w:pPr>
      <w:r w:rsidRPr="004F679B">
        <w:tab/>
        <w:t>(f)</w:t>
      </w:r>
      <w:r w:rsidRPr="004F679B">
        <w:tab/>
        <w:t>the gift card can only be used to make payments to merchants in Australia;</w:t>
      </w:r>
    </w:p>
    <w:p w14:paraId="4108B43E" w14:textId="77777777" w:rsidR="004D3821" w:rsidRPr="004F679B" w:rsidRDefault="004D3821" w:rsidP="004D3821">
      <w:pPr>
        <w:pStyle w:val="paragraph"/>
      </w:pPr>
      <w:r w:rsidRPr="004F679B">
        <w:tab/>
        <w:t>(g)</w:t>
      </w:r>
      <w:r w:rsidRPr="004F679B">
        <w:tab/>
        <w:t>the person has taken reasonable steps to mitigate and manage the risk that the gift card will be used as an instrument of money laundering, financing of terrorism or other crime.</w:t>
      </w:r>
    </w:p>
    <w:p w14:paraId="05F78D3D" w14:textId="1109F5B7" w:rsidR="004D3821" w:rsidRPr="004F679B" w:rsidRDefault="004D3821" w:rsidP="004D3821">
      <w:pPr>
        <w:pStyle w:val="notetext"/>
      </w:pPr>
      <w:r w:rsidRPr="004F679B">
        <w:t>Note:</w:t>
      </w:r>
      <w:r w:rsidRPr="004F679B">
        <w:tab/>
        <w:t xml:space="preserve">For rules determining whether a person is an </w:t>
      </w:r>
      <w:r w:rsidRPr="004F679B">
        <w:rPr>
          <w:b/>
          <w:bCs/>
          <w:i/>
          <w:iCs/>
        </w:rPr>
        <w:t>ordering institution</w:t>
      </w:r>
      <w:r w:rsidRPr="004F679B">
        <w:t>, see section 8</w:t>
      </w:r>
      <w:r w:rsidR="004F679B">
        <w:noBreakHyphen/>
      </w:r>
      <w:r w:rsidRPr="004F679B">
        <w:t xml:space="preserve">1 of the </w:t>
      </w:r>
      <w:r w:rsidRPr="004F679B">
        <w:rPr>
          <w:i/>
          <w:iCs/>
        </w:rPr>
        <w:t>Anti</w:t>
      </w:r>
      <w:r w:rsidR="004F679B">
        <w:rPr>
          <w:i/>
          <w:iCs/>
        </w:rPr>
        <w:noBreakHyphen/>
      </w:r>
      <w:r w:rsidRPr="004F679B">
        <w:rPr>
          <w:i/>
          <w:iCs/>
        </w:rPr>
        <w:t>Money Laundering and Counter</w:t>
      </w:r>
      <w:r w:rsidR="004F679B">
        <w:rPr>
          <w:i/>
          <w:iCs/>
        </w:rPr>
        <w:noBreakHyphen/>
      </w:r>
      <w:r w:rsidRPr="004F679B">
        <w:rPr>
          <w:i/>
          <w:iCs/>
        </w:rPr>
        <w:t>Terrorism Financing Rules 2025</w:t>
      </w:r>
      <w:r w:rsidRPr="004F679B">
        <w:t>.</w:t>
      </w:r>
    </w:p>
    <w:p w14:paraId="04F2010E" w14:textId="06D49914" w:rsidR="004D3821" w:rsidRPr="004F679B" w:rsidRDefault="00571029" w:rsidP="004D3821">
      <w:pPr>
        <w:pStyle w:val="ActHead5"/>
        <w:rPr>
          <w:i/>
          <w:iCs/>
        </w:rPr>
      </w:pPr>
      <w:bookmarkStart w:id="19" w:name="_Toc221271722"/>
      <w:r w:rsidRPr="004F679B">
        <w:t>6</w:t>
      </w:r>
      <w:r w:rsidR="004D3821" w:rsidRPr="004F679B">
        <w:t xml:space="preserve">.2  Person who is not a </w:t>
      </w:r>
      <w:r w:rsidR="004D3821" w:rsidRPr="004F679B">
        <w:rPr>
          <w:i/>
          <w:iCs/>
        </w:rPr>
        <w:t>beneficiary institution</w:t>
      </w:r>
      <w:bookmarkEnd w:id="19"/>
    </w:p>
    <w:p w14:paraId="531F29C9" w14:textId="77777777" w:rsidR="004D3821" w:rsidRPr="004F679B" w:rsidRDefault="004D3821" w:rsidP="004D3821">
      <w:pPr>
        <w:pStyle w:val="subsection"/>
      </w:pPr>
      <w:r w:rsidRPr="004F679B">
        <w:tab/>
      </w:r>
      <w:r w:rsidRPr="004F679B">
        <w:tab/>
        <w:t xml:space="preserve">For the purposes of paragraph 63A(8)(b) of the AML/CTF Act, a person is not a </w:t>
      </w:r>
      <w:r w:rsidRPr="004F679B">
        <w:rPr>
          <w:b/>
          <w:bCs/>
          <w:i/>
          <w:iCs/>
        </w:rPr>
        <w:t xml:space="preserve">beneficiary institution </w:t>
      </w:r>
      <w:r w:rsidRPr="004F679B">
        <w:t>if all the following apply:</w:t>
      </w:r>
    </w:p>
    <w:p w14:paraId="6D92EA98" w14:textId="77777777" w:rsidR="004D3821" w:rsidRPr="004F679B" w:rsidRDefault="004D3821" w:rsidP="004D3821">
      <w:pPr>
        <w:pStyle w:val="paragraph"/>
      </w:pPr>
      <w:r w:rsidRPr="004F679B">
        <w:tab/>
        <w:t>(a)</w:t>
      </w:r>
      <w:r w:rsidRPr="004F679B">
        <w:tab/>
        <w:t>the person makes value available as a result of an instruction that was given by use of a gift card;</w:t>
      </w:r>
    </w:p>
    <w:p w14:paraId="383EBC9C" w14:textId="77777777" w:rsidR="004D3821" w:rsidRPr="004F679B" w:rsidRDefault="004D3821" w:rsidP="004D3821">
      <w:pPr>
        <w:pStyle w:val="paragraph"/>
      </w:pPr>
      <w:r w:rsidRPr="004F679B">
        <w:tab/>
        <w:t>(b)</w:t>
      </w:r>
      <w:r w:rsidRPr="004F679B">
        <w:tab/>
        <w:t>the gift card was issued by the person in the course of carrying on a retail, shopping centre or gift card business that does not otherwise involve the provision of designated services;</w:t>
      </w:r>
    </w:p>
    <w:p w14:paraId="59D67C05" w14:textId="77777777" w:rsidR="004D3821" w:rsidRPr="004F679B" w:rsidRDefault="004D3821" w:rsidP="004D3821">
      <w:pPr>
        <w:pStyle w:val="paragraph"/>
      </w:pPr>
      <w:r w:rsidRPr="004F679B">
        <w:tab/>
        <w:t>(c)</w:t>
      </w:r>
      <w:r w:rsidRPr="004F679B">
        <w:tab/>
        <w:t>issuing the gift card was not a designated service;</w:t>
      </w:r>
    </w:p>
    <w:p w14:paraId="1460B35F" w14:textId="77777777" w:rsidR="004D3821" w:rsidRPr="004F679B" w:rsidRDefault="004D3821" w:rsidP="004D3821">
      <w:pPr>
        <w:pStyle w:val="paragraph"/>
      </w:pPr>
      <w:r w:rsidRPr="004F679B">
        <w:tab/>
        <w:t>(d)</w:t>
      </w:r>
      <w:r w:rsidRPr="004F679B">
        <w:tab/>
        <w:t>the monetary value stored in connection with the gift card cannot be increased (other than because of a reversal of a payment made using the card or the correction of an error);</w:t>
      </w:r>
    </w:p>
    <w:p w14:paraId="5CCDF809" w14:textId="77777777" w:rsidR="004D3821" w:rsidRPr="004F679B" w:rsidRDefault="004D3821" w:rsidP="004D3821">
      <w:pPr>
        <w:pStyle w:val="paragraph"/>
      </w:pPr>
      <w:r w:rsidRPr="004F679B">
        <w:lastRenderedPageBreak/>
        <w:tab/>
        <w:t>(e)</w:t>
      </w:r>
      <w:r w:rsidRPr="004F679B">
        <w:tab/>
        <w:t>no part of the monetary value stored in connection with the gift card may be withdrawn in cash;</w:t>
      </w:r>
    </w:p>
    <w:p w14:paraId="64B157C5" w14:textId="77777777" w:rsidR="004D3821" w:rsidRPr="004F679B" w:rsidRDefault="004D3821" w:rsidP="004D3821">
      <w:pPr>
        <w:pStyle w:val="paragraph"/>
      </w:pPr>
      <w:r w:rsidRPr="004F679B">
        <w:tab/>
        <w:t>(f)</w:t>
      </w:r>
      <w:r w:rsidRPr="004F679B">
        <w:tab/>
        <w:t>the gift card can only be used to make payments to merchants in Australia;</w:t>
      </w:r>
    </w:p>
    <w:p w14:paraId="02810CFE" w14:textId="77777777" w:rsidR="004D3821" w:rsidRPr="004F679B" w:rsidRDefault="004D3821" w:rsidP="004D3821">
      <w:pPr>
        <w:pStyle w:val="paragraph"/>
      </w:pPr>
      <w:r w:rsidRPr="004F679B">
        <w:tab/>
        <w:t>(g)</w:t>
      </w:r>
      <w:r w:rsidRPr="004F679B">
        <w:tab/>
        <w:t>the person has taken reasonable steps to mitigate and manage the risk that the gift card will be used as an instrument of money laundering, financing of terrorism or other crime.</w:t>
      </w:r>
    </w:p>
    <w:p w14:paraId="2BDC1962" w14:textId="2E59F17B" w:rsidR="004D3821" w:rsidRPr="004F679B" w:rsidRDefault="004D3821" w:rsidP="004D3821">
      <w:pPr>
        <w:pStyle w:val="notetext"/>
      </w:pPr>
      <w:r w:rsidRPr="004F679B">
        <w:t>Note:</w:t>
      </w:r>
      <w:r w:rsidRPr="004F679B">
        <w:tab/>
        <w:t xml:space="preserve">For rules determining whether a person is a </w:t>
      </w:r>
      <w:r w:rsidRPr="004F679B">
        <w:rPr>
          <w:b/>
          <w:bCs/>
          <w:i/>
          <w:iCs/>
        </w:rPr>
        <w:t>beneficiary institution</w:t>
      </w:r>
      <w:r w:rsidRPr="004F679B">
        <w:t>, see section 8</w:t>
      </w:r>
      <w:r w:rsidR="004F679B">
        <w:noBreakHyphen/>
      </w:r>
      <w:r w:rsidRPr="004F679B">
        <w:t xml:space="preserve">2 of the </w:t>
      </w:r>
      <w:r w:rsidRPr="004F679B">
        <w:rPr>
          <w:i/>
          <w:iCs/>
        </w:rPr>
        <w:t>Anti</w:t>
      </w:r>
      <w:r w:rsidR="004F679B">
        <w:rPr>
          <w:i/>
          <w:iCs/>
        </w:rPr>
        <w:noBreakHyphen/>
      </w:r>
      <w:r w:rsidRPr="004F679B">
        <w:rPr>
          <w:i/>
          <w:iCs/>
        </w:rPr>
        <w:t>Money Laundering and Counter</w:t>
      </w:r>
      <w:r w:rsidR="004F679B">
        <w:rPr>
          <w:i/>
          <w:iCs/>
        </w:rPr>
        <w:noBreakHyphen/>
      </w:r>
      <w:r w:rsidRPr="004F679B">
        <w:rPr>
          <w:i/>
          <w:iCs/>
        </w:rPr>
        <w:t>Terrorism Financing Rules 2025</w:t>
      </w:r>
      <w:r w:rsidRPr="004F679B">
        <w:t>.</w:t>
      </w:r>
    </w:p>
    <w:p w14:paraId="35C6856B" w14:textId="23F04076" w:rsidR="004D3821" w:rsidRPr="004F679B" w:rsidRDefault="00571029" w:rsidP="004D3821">
      <w:pPr>
        <w:pStyle w:val="ActHead5"/>
      </w:pPr>
      <w:bookmarkStart w:id="20" w:name="_Toc221271723"/>
      <w:r w:rsidRPr="004F679B">
        <w:t>6</w:t>
      </w:r>
      <w:r w:rsidR="004D3821" w:rsidRPr="004F679B">
        <w:t>.3  Repeal</w:t>
      </w:r>
      <w:bookmarkEnd w:id="20"/>
    </w:p>
    <w:p w14:paraId="4540FBF1" w14:textId="77777777" w:rsidR="00E054EC" w:rsidRPr="004F679B" w:rsidRDefault="004D3821" w:rsidP="00E054EC">
      <w:pPr>
        <w:pStyle w:val="subsection"/>
      </w:pPr>
      <w:r w:rsidRPr="004F679B">
        <w:tab/>
      </w:r>
      <w:r w:rsidRPr="004F679B">
        <w:tab/>
        <w:t>This Chapter is repealed on 31 March 2031.</w:t>
      </w:r>
    </w:p>
    <w:p w14:paraId="62D9F484" w14:textId="0B8D429B" w:rsidR="004D3821" w:rsidRPr="004F679B" w:rsidRDefault="004D3821" w:rsidP="00E054EC">
      <w:pPr>
        <w:pStyle w:val="ActHead1"/>
      </w:pPr>
      <w:bookmarkStart w:id="21" w:name="_Toc221271724"/>
      <w:r w:rsidRPr="004F679B">
        <w:t xml:space="preserve">Chapter </w:t>
      </w:r>
      <w:r w:rsidR="00571029" w:rsidRPr="004F679B">
        <w:t>7</w:t>
      </w:r>
      <w:r w:rsidRPr="004F679B">
        <w:tab/>
        <w:t>Services provided by barristers to Australian government bodies</w:t>
      </w:r>
      <w:bookmarkEnd w:id="21"/>
    </w:p>
    <w:p w14:paraId="5E8650F4" w14:textId="5FA2621C" w:rsidR="004D3821" w:rsidRPr="004F679B" w:rsidRDefault="00571029" w:rsidP="004D3821">
      <w:pPr>
        <w:pStyle w:val="ActHead5"/>
      </w:pPr>
      <w:bookmarkStart w:id="22" w:name="_Toc221271725"/>
      <w:r w:rsidRPr="004F679B">
        <w:t>7</w:t>
      </w:r>
      <w:r w:rsidR="004D3821" w:rsidRPr="004F679B">
        <w:t>.1  AML/CTF Act does not apply to services in certain circumstances</w:t>
      </w:r>
      <w:bookmarkEnd w:id="22"/>
    </w:p>
    <w:p w14:paraId="61DC9B26" w14:textId="77777777" w:rsidR="004D3821" w:rsidRPr="004F679B" w:rsidRDefault="004D3821" w:rsidP="004D3821">
      <w:pPr>
        <w:pStyle w:val="subsection"/>
      </w:pPr>
      <w:r w:rsidRPr="004F679B">
        <w:tab/>
      </w:r>
      <w:r w:rsidRPr="004F679B">
        <w:tab/>
        <w:t>For the purposes of subsection 247(3) of the AML/CTF Act, that Act does not apply to a designated service if:</w:t>
      </w:r>
    </w:p>
    <w:p w14:paraId="6738D9F8" w14:textId="77777777" w:rsidR="004D3821" w:rsidRPr="004F679B" w:rsidRDefault="004D3821" w:rsidP="004D3821">
      <w:pPr>
        <w:pStyle w:val="paragraph"/>
      </w:pPr>
      <w:r w:rsidRPr="004F679B">
        <w:tab/>
        <w:t>(a)</w:t>
      </w:r>
      <w:r w:rsidRPr="004F679B">
        <w:tab/>
        <w:t>the service is covered by an item of table 6 in section 6 of that Act; and</w:t>
      </w:r>
    </w:p>
    <w:p w14:paraId="0B0EDEC8" w14:textId="77777777" w:rsidR="004D3821" w:rsidRPr="004F679B" w:rsidRDefault="004D3821" w:rsidP="004D3821">
      <w:pPr>
        <w:pStyle w:val="paragraph"/>
      </w:pPr>
      <w:r w:rsidRPr="004F679B">
        <w:tab/>
        <w:t>(b)</w:t>
      </w:r>
      <w:r w:rsidRPr="004F679B">
        <w:tab/>
        <w:t>the service is provided by a person in the course of legal practice as a barrister; and</w:t>
      </w:r>
    </w:p>
    <w:p w14:paraId="54855068" w14:textId="77777777" w:rsidR="004D3821" w:rsidRPr="004F679B" w:rsidRDefault="004D3821" w:rsidP="004D3821">
      <w:pPr>
        <w:pStyle w:val="paragraph"/>
      </w:pPr>
      <w:r w:rsidRPr="004F679B">
        <w:tab/>
        <w:t>(c)</w:t>
      </w:r>
      <w:r w:rsidRPr="004F679B">
        <w:tab/>
        <w:t>the service is provided to an Australian government body.</w:t>
      </w:r>
    </w:p>
    <w:p w14:paraId="196A9700" w14:textId="0585DD60" w:rsidR="004D3821" w:rsidRPr="004F679B" w:rsidRDefault="00571029" w:rsidP="004D3821">
      <w:pPr>
        <w:pStyle w:val="ActHead5"/>
      </w:pPr>
      <w:bookmarkStart w:id="23" w:name="_Toc221271726"/>
      <w:r w:rsidRPr="004F679B">
        <w:t>7</w:t>
      </w:r>
      <w:r w:rsidR="004D3821" w:rsidRPr="004F679B">
        <w:t>.2  Repeal</w:t>
      </w:r>
      <w:bookmarkEnd w:id="23"/>
    </w:p>
    <w:p w14:paraId="77949F73" w14:textId="77777777" w:rsidR="00E054EC" w:rsidRPr="004F679B" w:rsidRDefault="004D3821" w:rsidP="00E054EC">
      <w:pPr>
        <w:pStyle w:val="subsection"/>
      </w:pPr>
      <w:r w:rsidRPr="004F679B">
        <w:tab/>
      </w:r>
      <w:r w:rsidRPr="004F679B">
        <w:tab/>
        <w:t>This Chapter is repealed on 31 March 2036.</w:t>
      </w:r>
    </w:p>
    <w:p w14:paraId="7905F3A1" w14:textId="4B3CD3C2" w:rsidR="004D3821" w:rsidRPr="004F679B" w:rsidRDefault="004D3821" w:rsidP="00E054EC">
      <w:pPr>
        <w:pStyle w:val="ActHead1"/>
      </w:pPr>
      <w:bookmarkStart w:id="24" w:name="_Toc221271727"/>
      <w:r w:rsidRPr="004F679B">
        <w:t xml:space="preserve">Chapter </w:t>
      </w:r>
      <w:r w:rsidR="00571029" w:rsidRPr="004F679B">
        <w:t>8</w:t>
      </w:r>
      <w:r w:rsidRPr="004F679B">
        <w:tab/>
        <w:t>Clearing and settlement facilities</w:t>
      </w:r>
      <w:bookmarkEnd w:id="24"/>
    </w:p>
    <w:p w14:paraId="74606A03" w14:textId="3246D612" w:rsidR="004D3821" w:rsidRPr="004F679B" w:rsidRDefault="00571029" w:rsidP="004D3821">
      <w:pPr>
        <w:pStyle w:val="ActHead5"/>
      </w:pPr>
      <w:bookmarkStart w:id="25" w:name="_Toc221271728"/>
      <w:r w:rsidRPr="004F679B">
        <w:t>8</w:t>
      </w:r>
      <w:r w:rsidR="004D3821" w:rsidRPr="004F679B">
        <w:t>.1  AML/CTF Act does not apply to incidental services provided by operator of facility</w:t>
      </w:r>
      <w:bookmarkEnd w:id="25"/>
    </w:p>
    <w:p w14:paraId="31CFDF1D" w14:textId="77777777" w:rsidR="004D3821" w:rsidRDefault="004D3821" w:rsidP="004D3821">
      <w:pPr>
        <w:pStyle w:val="subsection"/>
      </w:pPr>
      <w:r w:rsidRPr="004F679B">
        <w:tab/>
      </w:r>
      <w:r w:rsidRPr="004F679B">
        <w:tab/>
        <w:t>For the purposes of subsection 247(3) of the AML/CTF Act, that Act does not apply to a designated service if:</w:t>
      </w:r>
    </w:p>
    <w:p w14:paraId="204B1CB2" w14:textId="6F6B4752" w:rsidR="00C64233" w:rsidRPr="00C64233" w:rsidRDefault="00C64233" w:rsidP="00C64233">
      <w:pPr>
        <w:pStyle w:val="paragraph"/>
      </w:pPr>
      <w:r>
        <w:tab/>
        <w:t>(a)</w:t>
      </w:r>
      <w:r>
        <w:tab/>
        <w:t>the service is covered by an item of table 6 in section 6 of the Act; and</w:t>
      </w:r>
    </w:p>
    <w:p w14:paraId="0EAF3647" w14:textId="684D7090" w:rsidR="004D3821" w:rsidRPr="004F679B" w:rsidRDefault="004D3821" w:rsidP="004D3821">
      <w:pPr>
        <w:pStyle w:val="paragraph"/>
      </w:pPr>
      <w:r w:rsidRPr="004F679B">
        <w:tab/>
        <w:t>(</w:t>
      </w:r>
      <w:r w:rsidR="00C64233">
        <w:t>b</w:t>
      </w:r>
      <w:r w:rsidRPr="004F679B">
        <w:t>)</w:t>
      </w:r>
      <w:r w:rsidRPr="004F679B">
        <w:tab/>
        <w:t xml:space="preserve">the service is provided by the operator of a clearing and settlement facility, within the meaning of the </w:t>
      </w:r>
      <w:r w:rsidRPr="004F679B">
        <w:rPr>
          <w:i/>
          <w:iCs/>
        </w:rPr>
        <w:t>Corporations Act 2001</w:t>
      </w:r>
      <w:r w:rsidRPr="004F679B">
        <w:t>; and</w:t>
      </w:r>
    </w:p>
    <w:p w14:paraId="72C1F3FE" w14:textId="2693B65C" w:rsidR="004D3821" w:rsidRPr="004F679B" w:rsidRDefault="004D3821" w:rsidP="004D3821">
      <w:pPr>
        <w:pStyle w:val="paragraph"/>
      </w:pPr>
      <w:r w:rsidRPr="004F679B">
        <w:tab/>
        <w:t>(</w:t>
      </w:r>
      <w:r w:rsidR="00C64233">
        <w:t>c</w:t>
      </w:r>
      <w:r w:rsidRPr="004F679B">
        <w:t>)</w:t>
      </w:r>
      <w:r w:rsidRPr="004F679B">
        <w:tab/>
        <w:t xml:space="preserve">the provision of the service is incidental to the operation of the clearing and settlement facility in this jurisdiction, within the meaning of the </w:t>
      </w:r>
      <w:r w:rsidRPr="004F679B">
        <w:rPr>
          <w:i/>
          <w:iCs/>
        </w:rPr>
        <w:t>Corporations Act 2001</w:t>
      </w:r>
      <w:r w:rsidRPr="004F679B">
        <w:t>.</w:t>
      </w:r>
    </w:p>
    <w:p w14:paraId="15BA4BF1" w14:textId="7AAECBA5" w:rsidR="004D3821" w:rsidRPr="004F679B" w:rsidRDefault="00571029" w:rsidP="004D3821">
      <w:pPr>
        <w:pStyle w:val="ActHead5"/>
      </w:pPr>
      <w:bookmarkStart w:id="26" w:name="_Toc221271729"/>
      <w:r w:rsidRPr="004F679B">
        <w:t>8</w:t>
      </w:r>
      <w:r w:rsidR="004D3821" w:rsidRPr="004F679B">
        <w:t>.2  Repeal</w:t>
      </w:r>
      <w:bookmarkEnd w:id="26"/>
    </w:p>
    <w:p w14:paraId="109AF8AA" w14:textId="2203EA58" w:rsidR="0084172C" w:rsidRPr="004F679B" w:rsidRDefault="004D3821" w:rsidP="00571029">
      <w:pPr>
        <w:pStyle w:val="subsection"/>
      </w:pPr>
      <w:r w:rsidRPr="004F679B">
        <w:tab/>
      </w:r>
      <w:r w:rsidRPr="004F679B">
        <w:tab/>
        <w:t>This Chapter is repealed on 31 March 2031.</w:t>
      </w:r>
    </w:p>
    <w:sectPr w:rsidR="0084172C" w:rsidRPr="004F679B" w:rsidSect="007F48ED">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6F39" w14:textId="77777777" w:rsidR="00C5035E" w:rsidRDefault="00C5035E" w:rsidP="0048364F">
      <w:pPr>
        <w:spacing w:line="240" w:lineRule="auto"/>
      </w:pPr>
      <w:r>
        <w:separator/>
      </w:r>
    </w:p>
  </w:endnote>
  <w:endnote w:type="continuationSeparator" w:id="0">
    <w:p w14:paraId="228B50D8" w14:textId="77777777" w:rsidR="00C5035E" w:rsidRDefault="00C5035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CD6E" w14:textId="3C3CE9D4" w:rsidR="0048364F" w:rsidRPr="005F1388" w:rsidRDefault="00263886" w:rsidP="00685F42">
    <w:pPr>
      <w:pStyle w:val="Footer"/>
      <w:tabs>
        <w:tab w:val="clear" w:pos="4153"/>
        <w:tab w:val="clear" w:pos="8306"/>
        <w:tab w:val="center" w:pos="4150"/>
        <w:tab w:val="right" w:pos="8307"/>
      </w:tabs>
      <w:spacing w:before="120"/>
      <w:jc w:val="right"/>
      <w:rPr>
        <w:i/>
        <w:sz w:val="18"/>
      </w:rPr>
    </w:pPr>
    <w:r w:rsidRPr="00263886">
      <w:rPr>
        <w:b/>
        <w:i/>
        <w:noProof/>
        <w:sz w:val="18"/>
        <w:lang w:val="en-US"/>
      </w:rPr>
      <mc:AlternateContent>
        <mc:Choice Requires="wps">
          <w:drawing>
            <wp:anchor distT="0" distB="0" distL="114300" distR="114300" simplePos="0" relativeHeight="251661312" behindDoc="1" locked="1" layoutInCell="1" allowOverlap="1" wp14:anchorId="02A6EE1D" wp14:editId="59097D24">
              <wp:simplePos x="0" y="0"/>
              <wp:positionH relativeFrom="page">
                <wp:align>center</wp:align>
              </wp:positionH>
              <wp:positionV relativeFrom="paragraph">
                <wp:posOffset>0</wp:posOffset>
              </wp:positionV>
              <wp:extent cx="5773003" cy="395785"/>
              <wp:effectExtent l="0" t="0" r="0" b="4445"/>
              <wp:wrapNone/>
              <wp:docPr id="22" name="Text Box 2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FDF201" w14:textId="4E638B40"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A6EE1D" id="_x0000_t202" coordsize="21600,21600" o:spt="202" path="m,l,21600r21600,l21600,xe">
              <v:stroke joinstyle="miter"/>
              <v:path gradientshapeok="t" o:connecttype="rect"/>
            </v:shapetype>
            <v:shape id="Text Box 22" o:spid="_x0000_s1028" type="#_x0000_t202" alt="Sec-Footerevenpage" style="position:absolute;left:0;text-align:left;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ASjUyH8CAABtBQAA&#10;DgAAAAAAAAAAAAAAAAAuAgAAZHJzL2Uyb0RvYy54bWxQSwECLQAUAAYACAAAACEATjFmLdkAAAAE&#10;AQAADwAAAAAAAAAAAAAAAADZBAAAZHJzL2Rvd25yZXYueG1sUEsFBgAAAAAEAAQA8wAAAN8FAAAA&#10;AA==&#10;" stroked="f" strokeweight=".5pt">
              <v:textbox>
                <w:txbxContent>
                  <w:p w14:paraId="25FDF201" w14:textId="4E638B40"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48364F"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91CE" w14:textId="77777777" w:rsidR="0048364F" w:rsidRDefault="0048364F" w:rsidP="00E973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E97334" w14:paraId="0E6F1FBF" w14:textId="77777777" w:rsidTr="00465764">
      <w:tc>
        <w:tcPr>
          <w:tcW w:w="8472" w:type="dxa"/>
        </w:tcPr>
        <w:p w14:paraId="53736ED1" w14:textId="27F75EA8" w:rsidR="00E97334" w:rsidRDefault="00E97334" w:rsidP="00465764">
          <w:pPr>
            <w:rPr>
              <w:sz w:val="18"/>
            </w:rPr>
          </w:pPr>
          <w:r w:rsidRPr="00ED79B6">
            <w:rPr>
              <w:i/>
              <w:sz w:val="18"/>
            </w:rPr>
            <w:t xml:space="preserve"> </w:t>
          </w:r>
        </w:p>
      </w:tc>
    </w:tr>
  </w:tbl>
  <w:p w14:paraId="5821915E" w14:textId="77777777" w:rsidR="00E97334" w:rsidRPr="00E97334" w:rsidRDefault="00263886" w:rsidP="00E97334">
    <w:r w:rsidRPr="00324EB0">
      <w:rPr>
        <w:b/>
        <w:noProof/>
        <w:lang w:val="en-US"/>
      </w:rPr>
      <mc:AlternateContent>
        <mc:Choice Requires="wps">
          <w:drawing>
            <wp:anchor distT="0" distB="0" distL="114300" distR="114300" simplePos="0" relativeHeight="251652096" behindDoc="1" locked="1" layoutInCell="1" allowOverlap="1" wp14:anchorId="5C12A72B" wp14:editId="52A40C57">
              <wp:simplePos x="0" y="0"/>
              <wp:positionH relativeFrom="page">
                <wp:align>center</wp:align>
              </wp:positionH>
              <wp:positionV relativeFrom="paragraph">
                <wp:posOffset>0</wp:posOffset>
              </wp:positionV>
              <wp:extent cx="5773003" cy="395785"/>
              <wp:effectExtent l="0" t="0" r="0" b="4445"/>
              <wp:wrapNone/>
              <wp:docPr id="20" name="Text Box 2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6B0623" w14:textId="037E09C5"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12A72B" id="_x0000_t202" coordsize="21600,21600" o:spt="202" path="m,l,21600r21600,l21600,xe">
              <v:stroke joinstyle="miter"/>
              <v:path gradientshapeok="t" o:connecttype="rect"/>
            </v:shapetype>
            <v:shape id="Text Box 20" o:spid="_x0000_s1029" type="#_x0000_t202" alt="Sec-Footerprimary" style="position:absolute;margin-left:0;margin-top:0;width:454.55pt;height:31.15pt;z-index:-2516643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6amx2AAgAAbQUA&#10;AA4AAAAAAAAAAAAAAAAALgIAAGRycy9lMm9Eb2MueG1sUEsBAi0AFAAGAAgAAAAhAE4xZi3ZAAAA&#10;BAEAAA8AAAAAAAAAAAAAAAAA2gQAAGRycy9kb3ducmV2LnhtbFBLBQYAAAAABAAEAPMAAADgBQAA&#10;AAA=&#10;" stroked="f" strokeweight=".5pt">
              <v:textbox>
                <w:txbxContent>
                  <w:p w14:paraId="376B0623" w14:textId="037E09C5"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18FB" w14:textId="77777777" w:rsidR="0048364F" w:rsidRPr="00ED79B6" w:rsidRDefault="0048364F"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5BDA"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28B77CCF" w14:textId="77777777" w:rsidTr="00D56A0D">
      <w:tc>
        <w:tcPr>
          <w:tcW w:w="709" w:type="dxa"/>
          <w:tcBorders>
            <w:top w:val="nil"/>
            <w:left w:val="nil"/>
            <w:bottom w:val="nil"/>
            <w:right w:val="nil"/>
          </w:tcBorders>
        </w:tcPr>
        <w:p w14:paraId="2F9F8A12"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ii</w:t>
          </w:r>
          <w:r w:rsidRPr="00ED79B6">
            <w:rPr>
              <w:i/>
              <w:sz w:val="18"/>
            </w:rPr>
            <w:fldChar w:fldCharType="end"/>
          </w:r>
        </w:p>
      </w:tc>
      <w:tc>
        <w:tcPr>
          <w:tcW w:w="6379" w:type="dxa"/>
          <w:tcBorders>
            <w:top w:val="nil"/>
            <w:left w:val="nil"/>
            <w:bottom w:val="nil"/>
            <w:right w:val="nil"/>
          </w:tcBorders>
        </w:tcPr>
        <w:p w14:paraId="1680A025" w14:textId="5B98E096"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83799">
            <w:rPr>
              <w:i/>
              <w:sz w:val="18"/>
            </w:rPr>
            <w:t>Anti-Money Laundering and Counter-Terrorism Financing (Class Exemptions and Other Matters) Amendment Rules 2026</w:t>
          </w:r>
          <w:r w:rsidRPr="007A1328">
            <w:rPr>
              <w:i/>
              <w:sz w:val="18"/>
            </w:rPr>
            <w:fldChar w:fldCharType="end"/>
          </w:r>
        </w:p>
      </w:tc>
      <w:tc>
        <w:tcPr>
          <w:tcW w:w="1383" w:type="dxa"/>
          <w:tcBorders>
            <w:top w:val="nil"/>
            <w:left w:val="nil"/>
            <w:bottom w:val="nil"/>
            <w:right w:val="nil"/>
          </w:tcBorders>
        </w:tcPr>
        <w:p w14:paraId="5F8C697B" w14:textId="77777777" w:rsidR="00A136F5" w:rsidRDefault="00A136F5" w:rsidP="00830B62">
          <w:pPr>
            <w:spacing w:line="0" w:lineRule="atLeast"/>
            <w:jc w:val="right"/>
            <w:rPr>
              <w:sz w:val="18"/>
            </w:rPr>
          </w:pPr>
        </w:p>
      </w:tc>
    </w:tr>
    <w:tr w:rsidR="00A136F5" w14:paraId="6ECBDAC7"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23BE4F9" w14:textId="78EAF301" w:rsidR="00A136F5" w:rsidRDefault="00A136F5" w:rsidP="00830B62">
          <w:pPr>
            <w:jc w:val="right"/>
            <w:rPr>
              <w:sz w:val="18"/>
            </w:rPr>
          </w:pPr>
          <w:r w:rsidRPr="00ED79B6">
            <w:rPr>
              <w:i/>
              <w:sz w:val="18"/>
            </w:rPr>
            <w:t xml:space="preserve"> </w:t>
          </w:r>
        </w:p>
      </w:tc>
    </w:tr>
  </w:tbl>
  <w:p w14:paraId="1D94F896" w14:textId="77777777" w:rsidR="00A136F5" w:rsidRPr="00ED79B6" w:rsidRDefault="00263886" w:rsidP="00A136F5">
    <w:pPr>
      <w:rPr>
        <w:i/>
        <w:sz w:val="18"/>
      </w:rPr>
    </w:pPr>
    <w:r w:rsidRPr="00263886">
      <w:rPr>
        <w:b/>
        <w:i/>
        <w:noProof/>
        <w:sz w:val="18"/>
        <w:lang w:val="en-US"/>
      </w:rPr>
      <mc:AlternateContent>
        <mc:Choice Requires="wps">
          <w:drawing>
            <wp:anchor distT="0" distB="0" distL="114300" distR="114300" simplePos="0" relativeHeight="251654144" behindDoc="1" locked="1" layoutInCell="1" allowOverlap="1" wp14:anchorId="454482D1" wp14:editId="705B7712">
              <wp:simplePos x="0" y="0"/>
              <wp:positionH relativeFrom="page">
                <wp:align>center</wp:align>
              </wp:positionH>
              <wp:positionV relativeFrom="paragraph">
                <wp:posOffset>0</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39BD34" w14:textId="1D137AA7"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4482D1" id="_x0000_t202" coordsize="21600,21600" o:spt="202" path="m,l,21600r21600,l21600,xe">
              <v:stroke joinstyle="miter"/>
              <v:path gradientshapeok="t" o:connecttype="rect"/>
            </v:shapetype>
            <v:shape id="Text Box 26" o:spid="_x0000_s1032" type="#_x0000_t202" alt="Sec-Footerevenpage" style="position:absolute;margin-left:0;margin-top:0;width:454.55pt;height:31.15pt;z-index:-2516623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tCCuAAgAAbQUA&#10;AA4AAAAAAAAAAAAAAAAALgIAAGRycy9lMm9Eb2MueG1sUEsBAi0AFAAGAAgAAAAhAE4xZi3ZAAAA&#10;BAEAAA8AAAAAAAAAAAAAAAAA2gQAAGRycy9kb3ducmV2LnhtbFBLBQYAAAAABAAEAPMAAADgBQAA&#10;AAA=&#10;" stroked="f" strokeweight=".5pt">
              <v:textbox>
                <w:txbxContent>
                  <w:p w14:paraId="1539BD34" w14:textId="1D137AA7"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12F9"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14:paraId="30013A42" w14:textId="77777777" w:rsidTr="00D56A0D">
      <w:tc>
        <w:tcPr>
          <w:tcW w:w="1383" w:type="dxa"/>
          <w:tcBorders>
            <w:top w:val="nil"/>
            <w:left w:val="nil"/>
            <w:bottom w:val="nil"/>
            <w:right w:val="nil"/>
          </w:tcBorders>
        </w:tcPr>
        <w:p w14:paraId="71E0B9FD" w14:textId="77777777" w:rsidR="00A136F5" w:rsidRDefault="00A136F5" w:rsidP="00830B62">
          <w:pPr>
            <w:spacing w:line="0" w:lineRule="atLeast"/>
            <w:rPr>
              <w:sz w:val="18"/>
            </w:rPr>
          </w:pPr>
        </w:p>
      </w:tc>
      <w:tc>
        <w:tcPr>
          <w:tcW w:w="6379" w:type="dxa"/>
          <w:tcBorders>
            <w:top w:val="nil"/>
            <w:left w:val="nil"/>
            <w:bottom w:val="nil"/>
            <w:right w:val="nil"/>
          </w:tcBorders>
        </w:tcPr>
        <w:p w14:paraId="554C0F87" w14:textId="1D05BB9B"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83799">
            <w:rPr>
              <w:i/>
              <w:sz w:val="18"/>
            </w:rPr>
            <w:t>Anti-Money Laundering and Counter-Terrorism Financing (Class Exemptions and Other Matters) Amendment Rules 2026</w:t>
          </w:r>
          <w:r w:rsidRPr="007A1328">
            <w:rPr>
              <w:i/>
              <w:sz w:val="18"/>
            </w:rPr>
            <w:fldChar w:fldCharType="end"/>
          </w:r>
        </w:p>
      </w:tc>
      <w:tc>
        <w:tcPr>
          <w:tcW w:w="709" w:type="dxa"/>
          <w:tcBorders>
            <w:top w:val="nil"/>
            <w:left w:val="nil"/>
            <w:bottom w:val="nil"/>
            <w:right w:val="nil"/>
          </w:tcBorders>
        </w:tcPr>
        <w:p w14:paraId="61FC882E"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i</w:t>
          </w:r>
          <w:r w:rsidRPr="00ED79B6">
            <w:rPr>
              <w:i/>
              <w:sz w:val="18"/>
            </w:rPr>
            <w:fldChar w:fldCharType="end"/>
          </w:r>
        </w:p>
      </w:tc>
    </w:tr>
    <w:tr w:rsidR="00A136F5" w14:paraId="2EBBB3D4"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A24BEE2" w14:textId="339546E8" w:rsidR="00A136F5" w:rsidRDefault="00A136F5" w:rsidP="00830B62">
          <w:pPr>
            <w:rPr>
              <w:sz w:val="18"/>
            </w:rPr>
          </w:pPr>
          <w:r w:rsidRPr="00ED79B6">
            <w:rPr>
              <w:i/>
              <w:sz w:val="18"/>
            </w:rPr>
            <w:t xml:space="preserve"> </w:t>
          </w:r>
        </w:p>
      </w:tc>
    </w:tr>
  </w:tbl>
  <w:p w14:paraId="71EE89AE" w14:textId="77777777" w:rsidR="00A136F5" w:rsidRPr="00ED79B6" w:rsidRDefault="00263886" w:rsidP="00A136F5">
    <w:pPr>
      <w:rPr>
        <w:i/>
        <w:sz w:val="18"/>
      </w:rPr>
    </w:pPr>
    <w:r w:rsidRPr="00263886">
      <w:rPr>
        <w:b/>
        <w:i/>
        <w:noProof/>
        <w:sz w:val="18"/>
        <w:lang w:val="en-US"/>
      </w:rPr>
      <mc:AlternateContent>
        <mc:Choice Requires="wps">
          <w:drawing>
            <wp:anchor distT="0" distB="0" distL="114300" distR="114300" simplePos="0" relativeHeight="251653120" behindDoc="1" locked="1" layoutInCell="1" allowOverlap="1" wp14:anchorId="7FF3E3FF" wp14:editId="4A7EB495">
              <wp:simplePos x="0" y="0"/>
              <wp:positionH relativeFrom="page">
                <wp:align>center</wp:align>
              </wp:positionH>
              <wp:positionV relativeFrom="paragraph">
                <wp:posOffset>0</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F62697" w14:textId="137AEA8B"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F3E3FF" id="_x0000_t202" coordsize="21600,21600" o:spt="202" path="m,l,21600r21600,l21600,xe">
              <v:stroke joinstyle="miter"/>
              <v:path gradientshapeok="t" o:connecttype="rect"/>
            </v:shapetype>
            <v:shape id="Text Box 24" o:spid="_x0000_s1033" type="#_x0000_t202" alt="Sec-Footerprimary" style="position:absolute;margin-left:0;margin-top:0;width:454.55pt;height:31.1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ABfR/6AAgAAbQUA&#10;AA4AAAAAAAAAAAAAAAAALgIAAGRycy9lMm9Eb2MueG1sUEsBAi0AFAAGAAgAAAAhAE4xZi3ZAAAA&#10;BAEAAA8AAAAAAAAAAAAAAAAA2gQAAGRycy9kb3ducmV2LnhtbFBLBQYAAAAABAAEAPMAAADgBQAA&#10;AAA=&#10;" stroked="f" strokeweight=".5pt">
              <v:textbox>
                <w:txbxContent>
                  <w:p w14:paraId="4DF62697" w14:textId="137AEA8B"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E2E1" w14:textId="77777777"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751E3E77" w14:textId="77777777" w:rsidTr="007A6863">
      <w:tc>
        <w:tcPr>
          <w:tcW w:w="709" w:type="dxa"/>
          <w:tcBorders>
            <w:top w:val="nil"/>
            <w:left w:val="nil"/>
            <w:bottom w:val="nil"/>
            <w:right w:val="nil"/>
          </w:tcBorders>
        </w:tcPr>
        <w:p w14:paraId="33E89147"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2</w:t>
          </w:r>
          <w:r w:rsidRPr="00ED79B6">
            <w:rPr>
              <w:i/>
              <w:sz w:val="18"/>
            </w:rPr>
            <w:fldChar w:fldCharType="end"/>
          </w:r>
        </w:p>
      </w:tc>
      <w:tc>
        <w:tcPr>
          <w:tcW w:w="6379" w:type="dxa"/>
          <w:tcBorders>
            <w:top w:val="nil"/>
            <w:left w:val="nil"/>
            <w:bottom w:val="nil"/>
            <w:right w:val="nil"/>
          </w:tcBorders>
        </w:tcPr>
        <w:p w14:paraId="7C1A2BD4" w14:textId="2EC3C2C9"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83799">
            <w:rPr>
              <w:i/>
              <w:sz w:val="18"/>
            </w:rPr>
            <w:t>Anti-Money Laundering and Counter-Terrorism Financing (Class Exemptions and Other Matters) Amendment Rules 2026</w:t>
          </w:r>
          <w:r w:rsidRPr="007A1328">
            <w:rPr>
              <w:i/>
              <w:sz w:val="18"/>
            </w:rPr>
            <w:fldChar w:fldCharType="end"/>
          </w:r>
        </w:p>
      </w:tc>
      <w:tc>
        <w:tcPr>
          <w:tcW w:w="1383" w:type="dxa"/>
          <w:tcBorders>
            <w:top w:val="nil"/>
            <w:left w:val="nil"/>
            <w:bottom w:val="nil"/>
            <w:right w:val="nil"/>
          </w:tcBorders>
        </w:tcPr>
        <w:p w14:paraId="13105875" w14:textId="77777777" w:rsidR="00A136F5" w:rsidRDefault="00A136F5" w:rsidP="00830B62">
          <w:pPr>
            <w:spacing w:line="0" w:lineRule="atLeast"/>
            <w:jc w:val="right"/>
            <w:rPr>
              <w:sz w:val="18"/>
            </w:rPr>
          </w:pPr>
        </w:p>
      </w:tc>
    </w:tr>
    <w:tr w:rsidR="00A136F5" w14:paraId="14B294CB"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44F63C0" w14:textId="53479E36" w:rsidR="00A136F5" w:rsidRDefault="00A136F5" w:rsidP="00830B62">
          <w:pPr>
            <w:jc w:val="right"/>
            <w:rPr>
              <w:sz w:val="18"/>
            </w:rPr>
          </w:pPr>
          <w:r w:rsidRPr="00ED79B6">
            <w:rPr>
              <w:i/>
              <w:sz w:val="18"/>
            </w:rPr>
            <w:t xml:space="preserve"> </w:t>
          </w:r>
        </w:p>
      </w:tc>
    </w:tr>
  </w:tbl>
  <w:p w14:paraId="2202F3A2" w14:textId="77777777" w:rsidR="00A136F5" w:rsidRPr="00ED79B6" w:rsidRDefault="00263886" w:rsidP="00A136F5">
    <w:pPr>
      <w:rPr>
        <w:i/>
        <w:sz w:val="18"/>
      </w:rPr>
    </w:pPr>
    <w:r w:rsidRPr="00263886">
      <w:rPr>
        <w:b/>
        <w:i/>
        <w:noProof/>
        <w:sz w:val="18"/>
        <w:lang w:val="en-US"/>
      </w:rPr>
      <mc:AlternateContent>
        <mc:Choice Requires="wps">
          <w:drawing>
            <wp:anchor distT="0" distB="0" distL="114300" distR="114300" simplePos="0" relativeHeight="251660288" behindDoc="1" locked="1" layoutInCell="1" allowOverlap="1" wp14:anchorId="16032600" wp14:editId="11D5830D">
              <wp:simplePos x="0" y="0"/>
              <wp:positionH relativeFrom="page">
                <wp:align>center</wp:align>
              </wp:positionH>
              <wp:positionV relativeFrom="paragraph">
                <wp:posOffset>0</wp:posOffset>
              </wp:positionV>
              <wp:extent cx="5773003" cy="395785"/>
              <wp:effectExtent l="0" t="0" r="0" b="4445"/>
              <wp:wrapNone/>
              <wp:docPr id="30" name="Text Box 3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EF0E39" w14:textId="252370D8"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032600" id="_x0000_t202" coordsize="21600,21600" o:spt="202" path="m,l,21600r21600,l21600,xe">
              <v:stroke joinstyle="miter"/>
              <v:path gradientshapeok="t" o:connecttype="rect"/>
            </v:shapetype>
            <v:shape id="Text Box 30" o:spid="_x0000_s1036" type="#_x0000_t202" alt="Sec-Footerevenpage" style="position:absolute;margin-left:0;margin-top:0;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26ZUEH8CAABuBQAA&#10;DgAAAAAAAAAAAAAAAAAuAgAAZHJzL2Uyb0RvYy54bWxQSwECLQAUAAYACAAAACEATjFmLdkAAAAE&#10;AQAADwAAAAAAAAAAAAAAAADZBAAAZHJzL2Rvd25yZXYueG1sUEsFBgAAAAAEAAQA8wAAAN8FAAAA&#10;AA==&#10;" stroked="f" strokeweight=".5pt">
              <v:textbox>
                <w:txbxContent>
                  <w:p w14:paraId="35EF0E39" w14:textId="252370D8"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9FAF" w14:textId="77777777"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14:paraId="1A16EAA4" w14:textId="77777777" w:rsidTr="000C45A2">
      <w:tc>
        <w:tcPr>
          <w:tcW w:w="1384" w:type="dxa"/>
          <w:tcBorders>
            <w:top w:val="nil"/>
            <w:left w:val="nil"/>
            <w:bottom w:val="nil"/>
            <w:right w:val="nil"/>
          </w:tcBorders>
        </w:tcPr>
        <w:p w14:paraId="0803D01F" w14:textId="77777777" w:rsidR="007A6863" w:rsidRDefault="007A6863" w:rsidP="000C45A2">
          <w:pPr>
            <w:spacing w:line="0" w:lineRule="atLeast"/>
            <w:rPr>
              <w:sz w:val="18"/>
            </w:rPr>
          </w:pPr>
        </w:p>
      </w:tc>
      <w:tc>
        <w:tcPr>
          <w:tcW w:w="6379" w:type="dxa"/>
          <w:tcBorders>
            <w:top w:val="nil"/>
            <w:left w:val="nil"/>
            <w:bottom w:val="nil"/>
            <w:right w:val="nil"/>
          </w:tcBorders>
        </w:tcPr>
        <w:p w14:paraId="1553FD0C" w14:textId="5636B737"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83799">
            <w:rPr>
              <w:i/>
              <w:sz w:val="18"/>
            </w:rPr>
            <w:t>Anti-Money Laundering and Counter-Terrorism Financing (Class Exemptions and Other Matters) Amendment Rules 2026</w:t>
          </w:r>
          <w:r w:rsidRPr="007A1328">
            <w:rPr>
              <w:i/>
              <w:sz w:val="18"/>
            </w:rPr>
            <w:fldChar w:fldCharType="end"/>
          </w:r>
        </w:p>
      </w:tc>
      <w:tc>
        <w:tcPr>
          <w:tcW w:w="709" w:type="dxa"/>
          <w:tcBorders>
            <w:top w:val="nil"/>
            <w:left w:val="nil"/>
            <w:bottom w:val="nil"/>
            <w:right w:val="nil"/>
          </w:tcBorders>
        </w:tcPr>
        <w:p w14:paraId="521F6949" w14:textId="77777777"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1</w:t>
          </w:r>
          <w:r w:rsidRPr="00ED79B6">
            <w:rPr>
              <w:i/>
              <w:sz w:val="18"/>
            </w:rPr>
            <w:fldChar w:fldCharType="end"/>
          </w:r>
        </w:p>
      </w:tc>
    </w:tr>
    <w:tr w:rsidR="007A6863" w14:paraId="7EDD58FE" w14:textId="77777777" w:rsidTr="000C4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C34563D" w14:textId="134B0989" w:rsidR="007A6863" w:rsidRDefault="007A6863" w:rsidP="000C45A2">
          <w:pPr>
            <w:rPr>
              <w:sz w:val="18"/>
            </w:rPr>
          </w:pPr>
          <w:r w:rsidRPr="00ED79B6">
            <w:rPr>
              <w:i/>
              <w:sz w:val="18"/>
            </w:rPr>
            <w:t xml:space="preserve"> </w:t>
          </w:r>
        </w:p>
      </w:tc>
    </w:tr>
  </w:tbl>
  <w:p w14:paraId="0CAC0BC7" w14:textId="77777777" w:rsidR="007A6863" w:rsidRPr="00ED79B6" w:rsidRDefault="00263886" w:rsidP="007A6863">
    <w:pPr>
      <w:rPr>
        <w:i/>
        <w:sz w:val="18"/>
      </w:rPr>
    </w:pPr>
    <w:r w:rsidRPr="00263886">
      <w:rPr>
        <w:b/>
        <w:i/>
        <w:noProof/>
        <w:sz w:val="18"/>
        <w:lang w:val="en-US"/>
      </w:rPr>
      <mc:AlternateContent>
        <mc:Choice Requires="wps">
          <w:drawing>
            <wp:anchor distT="0" distB="0" distL="114300" distR="114300" simplePos="0" relativeHeight="251657216" behindDoc="1" locked="1" layoutInCell="1" allowOverlap="1" wp14:anchorId="47115447" wp14:editId="7EDAF75D">
              <wp:simplePos x="0" y="0"/>
              <wp:positionH relativeFrom="page">
                <wp:align>center</wp:align>
              </wp:positionH>
              <wp:positionV relativeFrom="paragraph">
                <wp:posOffset>0</wp:posOffset>
              </wp:positionV>
              <wp:extent cx="5773003" cy="395785"/>
              <wp:effectExtent l="0" t="0" r="0" b="4445"/>
              <wp:wrapNone/>
              <wp:docPr id="28" name="Text Box 2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370DFA" w14:textId="284E424F"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115447" id="_x0000_t202" coordsize="21600,21600" o:spt="202" path="m,l,21600r21600,l21600,xe">
              <v:stroke joinstyle="miter"/>
              <v:path gradientshapeok="t" o:connecttype="rect"/>
            </v:shapetype>
            <v:shape id="Text Box 28" o:spid="_x0000_s1037" type="#_x0000_t202" alt="Sec-Footerprimary" style="position:absolute;margin-left:0;margin-top:0;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KQUG8WAAgAAbgUA&#10;AA4AAAAAAAAAAAAAAAAALgIAAGRycy9lMm9Eb2MueG1sUEsBAi0AFAAGAAgAAAAhAE4xZi3ZAAAA&#10;BAEAAA8AAAAAAAAAAAAAAAAA2gQAAGRycy9kb3ducmV2LnhtbFBLBQYAAAAABAAEAPMAAADgBQAA&#10;AAA=&#10;" stroked="f" strokeweight=".5pt">
              <v:textbox>
                <w:txbxContent>
                  <w:p w14:paraId="68370DFA" w14:textId="284E424F"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A4D1" w14:textId="77777777"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14:paraId="47750C8C" w14:textId="77777777" w:rsidTr="007A6863">
      <w:tc>
        <w:tcPr>
          <w:tcW w:w="1384" w:type="dxa"/>
          <w:tcBorders>
            <w:top w:val="nil"/>
            <w:left w:val="nil"/>
            <w:bottom w:val="nil"/>
            <w:right w:val="nil"/>
          </w:tcBorders>
        </w:tcPr>
        <w:p w14:paraId="23FC9D13" w14:textId="77777777" w:rsidR="00A136F5" w:rsidRDefault="00A136F5" w:rsidP="00830B62">
          <w:pPr>
            <w:spacing w:line="0" w:lineRule="atLeast"/>
            <w:rPr>
              <w:sz w:val="18"/>
            </w:rPr>
          </w:pPr>
        </w:p>
      </w:tc>
      <w:tc>
        <w:tcPr>
          <w:tcW w:w="6379" w:type="dxa"/>
          <w:tcBorders>
            <w:top w:val="nil"/>
            <w:left w:val="nil"/>
            <w:bottom w:val="nil"/>
            <w:right w:val="nil"/>
          </w:tcBorders>
        </w:tcPr>
        <w:p w14:paraId="2D22AFC1" w14:textId="324A9439"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83799">
            <w:rPr>
              <w:i/>
              <w:sz w:val="18"/>
            </w:rPr>
            <w:t>Anti-Money Laundering and Counter-Terrorism Financing (Class Exemptions and Other Matters) Amendment Rules 2026</w:t>
          </w:r>
          <w:r w:rsidRPr="007A1328">
            <w:rPr>
              <w:i/>
              <w:sz w:val="18"/>
            </w:rPr>
            <w:fldChar w:fldCharType="end"/>
          </w:r>
        </w:p>
      </w:tc>
      <w:tc>
        <w:tcPr>
          <w:tcW w:w="709" w:type="dxa"/>
          <w:tcBorders>
            <w:top w:val="nil"/>
            <w:left w:val="nil"/>
            <w:bottom w:val="nil"/>
            <w:right w:val="nil"/>
          </w:tcBorders>
        </w:tcPr>
        <w:p w14:paraId="26BD4E64"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2</w:t>
          </w:r>
          <w:r w:rsidRPr="00ED79B6">
            <w:rPr>
              <w:i/>
              <w:sz w:val="18"/>
            </w:rPr>
            <w:fldChar w:fldCharType="end"/>
          </w:r>
        </w:p>
      </w:tc>
    </w:tr>
    <w:tr w:rsidR="00A136F5" w14:paraId="75726BC6"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06F35DE" w14:textId="2AA73DF6" w:rsidR="00A136F5" w:rsidRDefault="00A136F5" w:rsidP="00830B62">
          <w:pPr>
            <w:rPr>
              <w:sz w:val="18"/>
            </w:rPr>
          </w:pPr>
          <w:r w:rsidRPr="00ED79B6">
            <w:rPr>
              <w:i/>
              <w:sz w:val="18"/>
            </w:rPr>
            <w:t xml:space="preserve"> </w:t>
          </w:r>
        </w:p>
      </w:tc>
    </w:tr>
  </w:tbl>
  <w:p w14:paraId="419D7AF3" w14:textId="77777777" w:rsidR="00A136F5" w:rsidRPr="00ED79B6" w:rsidRDefault="00A136F5"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5F05" w14:textId="77777777" w:rsidR="00C5035E" w:rsidRDefault="00C5035E" w:rsidP="0048364F">
      <w:pPr>
        <w:spacing w:line="240" w:lineRule="auto"/>
      </w:pPr>
      <w:r>
        <w:separator/>
      </w:r>
    </w:p>
  </w:footnote>
  <w:footnote w:type="continuationSeparator" w:id="0">
    <w:p w14:paraId="3939E567" w14:textId="77777777" w:rsidR="00C5035E" w:rsidRDefault="00C5035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A2BC" w14:textId="77777777" w:rsidR="0048364F" w:rsidRPr="005F1388" w:rsidRDefault="00263886"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59264" behindDoc="1" locked="1" layoutInCell="1" allowOverlap="1" wp14:anchorId="1DDC415C" wp14:editId="25C42BF5">
              <wp:simplePos x="0" y="0"/>
              <wp:positionH relativeFrom="page">
                <wp:align>center</wp:align>
              </wp:positionH>
              <wp:positionV relativeFrom="paragraph">
                <wp:posOffset>-317500</wp:posOffset>
              </wp:positionV>
              <wp:extent cx="5773003" cy="395785"/>
              <wp:effectExtent l="0" t="0" r="0" b="4445"/>
              <wp:wrapNone/>
              <wp:docPr id="21" name="Text Box 2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50A73E" w14:textId="50344DC8"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DC415C" id="_x0000_t202" coordsize="21600,21600" o:spt="202" path="m,l,21600r21600,l21600,xe">
              <v:stroke joinstyle="miter"/>
              <v:path gradientshapeok="t" o:connecttype="rect"/>
            </v:shapetype>
            <v:shape id="Text Box 21" o:spid="_x0000_s1026" type="#_x0000_t202" alt="Sec-Headerevenpage"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3150A73E" w14:textId="50344DC8"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E05A" w14:textId="77777777" w:rsidR="0048364F" w:rsidRPr="005F1388" w:rsidRDefault="00263886"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56192" behindDoc="1" locked="1" layoutInCell="1" allowOverlap="1" wp14:anchorId="71D71F0E" wp14:editId="64CF601C">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6CC7DC" w14:textId="4DDD6DFD"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D71F0E"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166CC7DC" w14:textId="4DDD6DFD"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8EF5"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31B6" w14:textId="77777777" w:rsidR="0048364F" w:rsidRPr="00ED79B6" w:rsidRDefault="00263886" w:rsidP="00220A0C">
    <w:pPr>
      <w:pBdr>
        <w:bottom w:val="single" w:sz="6" w:space="1" w:color="auto"/>
      </w:pBdr>
      <w:spacing w:before="1000"/>
    </w:pPr>
    <w:r w:rsidRPr="00324EB0">
      <w:rPr>
        <w:b/>
        <w:noProof/>
        <w:lang w:val="en-US"/>
      </w:rPr>
      <mc:AlternateContent>
        <mc:Choice Requires="wps">
          <w:drawing>
            <wp:anchor distT="0" distB="0" distL="114300" distR="114300" simplePos="0" relativeHeight="251663360" behindDoc="1" locked="1" layoutInCell="1" allowOverlap="1" wp14:anchorId="7A7A38C6" wp14:editId="3DE0F599">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EB9092" w14:textId="07FD4A11"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7A38C6" id="_x0000_t202" coordsize="21600,21600" o:spt="202" path="m,l,21600r21600,l21600,xe">
              <v:stroke joinstyle="miter"/>
              <v:path gradientshapeok="t" o:connecttype="rect"/>
            </v:shapetype>
            <v:shape id="Text Box 25" o:spid="_x0000_s1030"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1FEB9092" w14:textId="07FD4A11"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7453" w14:textId="77777777" w:rsidR="002302EA" w:rsidRPr="00ED79B6" w:rsidRDefault="00263886" w:rsidP="00220A0C">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62336" behindDoc="1" locked="1" layoutInCell="1" allowOverlap="1" wp14:anchorId="7A3AB72F" wp14:editId="399286A7">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13FDC7" w14:textId="2E16914F"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3AB72F" id="_x0000_t202" coordsize="21600,21600" o:spt="202" path="m,l,21600r21600,l21600,xe">
              <v:stroke joinstyle="miter"/>
              <v:path gradientshapeok="t" o:connecttype="rect"/>
            </v:shapetype>
            <v:shape id="Text Box 23" o:spid="_x0000_s1031" type="#_x0000_t202" alt="Sec-Headerprimary" style="position:absolute;margin-left:0;margin-top:-25pt;width:454.55pt;height:31.15pt;z-index:-2516541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0613FDC7" w14:textId="2E16914F"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EE16"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5487" w14:textId="1910171B" w:rsidR="0048364F" w:rsidRPr="00A961C4" w:rsidRDefault="00263886" w:rsidP="0048364F">
    <w:pPr>
      <w:rPr>
        <w:b/>
        <w:sz w:val="20"/>
      </w:rPr>
    </w:pPr>
    <w:r w:rsidRPr="00263886">
      <w:rPr>
        <w:b/>
        <w:noProof/>
        <w:sz w:val="20"/>
        <w:lang w:val="en-US"/>
      </w:rPr>
      <mc:AlternateContent>
        <mc:Choice Requires="wps">
          <w:drawing>
            <wp:anchor distT="0" distB="0" distL="114300" distR="114300" simplePos="0" relativeHeight="251658240" behindDoc="1" locked="1" layoutInCell="1" allowOverlap="1" wp14:anchorId="79E29736" wp14:editId="04CFDFB7">
              <wp:simplePos x="0" y="0"/>
              <wp:positionH relativeFrom="page">
                <wp:align>center</wp:align>
              </wp:positionH>
              <wp:positionV relativeFrom="paragraph">
                <wp:posOffset>-317500</wp:posOffset>
              </wp:positionV>
              <wp:extent cx="5773003" cy="395785"/>
              <wp:effectExtent l="0" t="0" r="0" b="4445"/>
              <wp:wrapNone/>
              <wp:docPr id="29" name="Text Box 2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E895C9" w14:textId="03102C68"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E29736" id="_x0000_t202" coordsize="21600,21600" o:spt="202" path="m,l,21600r21600,l21600,xe">
              <v:stroke joinstyle="miter"/>
              <v:path gradientshapeok="t" o:connecttype="rect"/>
            </v:shapetype>
            <v:shape id="Text Box 29" o:spid="_x0000_s1034" type="#_x0000_t202" alt="Sec-Headerevenpage" style="position:absolute;margin-left:0;margin-top:-2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06E895C9" w14:textId="03102C68"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D63EF6">
      <w:rPr>
        <w:b/>
        <w:sz w:val="20"/>
      </w:rPr>
      <w:fldChar w:fldCharType="begin"/>
    </w:r>
    <w:r w:rsidR="0048364F">
      <w:rPr>
        <w:b/>
        <w:sz w:val="20"/>
      </w:rPr>
      <w:instrText xml:space="preserve"> STYLEREF CharAmSchNo </w:instrText>
    </w:r>
    <w:r w:rsidR="00783799">
      <w:rPr>
        <w:b/>
        <w:sz w:val="20"/>
      </w:rPr>
      <w:fldChar w:fldCharType="separate"/>
    </w:r>
    <w:r w:rsidR="00783799">
      <w:rPr>
        <w:b/>
        <w:noProof/>
        <w:sz w:val="20"/>
      </w:rPr>
      <w:t>Schedule 1</w:t>
    </w:r>
    <w:r w:rsidR="00D63EF6">
      <w:rPr>
        <w:b/>
        <w:sz w:val="20"/>
      </w:rPr>
      <w:fldChar w:fldCharType="end"/>
    </w:r>
    <w:r w:rsidR="0048364F" w:rsidRPr="00A961C4">
      <w:rPr>
        <w:sz w:val="20"/>
      </w:rPr>
      <w:t xml:space="preserve">  </w:t>
    </w:r>
    <w:r w:rsidR="00D63EF6">
      <w:rPr>
        <w:sz w:val="20"/>
      </w:rPr>
      <w:fldChar w:fldCharType="begin"/>
    </w:r>
    <w:r w:rsidR="0048364F">
      <w:rPr>
        <w:sz w:val="20"/>
      </w:rPr>
      <w:instrText xml:space="preserve"> STYLEREF CharAmSchText </w:instrText>
    </w:r>
    <w:r w:rsidR="00783799">
      <w:rPr>
        <w:sz w:val="20"/>
      </w:rPr>
      <w:fldChar w:fldCharType="separate"/>
    </w:r>
    <w:r w:rsidR="00783799">
      <w:rPr>
        <w:noProof/>
        <w:sz w:val="20"/>
      </w:rPr>
      <w:t>Amendments</w:t>
    </w:r>
    <w:r w:rsidR="00D63EF6">
      <w:rPr>
        <w:sz w:val="20"/>
      </w:rPr>
      <w:fldChar w:fldCharType="end"/>
    </w:r>
  </w:p>
  <w:p w14:paraId="1F58B056" w14:textId="3242AB90"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28719F4C" w14:textId="77777777"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D77B" w14:textId="566C878E" w:rsidR="0048364F" w:rsidRPr="00A961C4" w:rsidRDefault="00263886" w:rsidP="0048364F">
    <w:pPr>
      <w:jc w:val="right"/>
      <w:rPr>
        <w:sz w:val="20"/>
      </w:rPr>
    </w:pPr>
    <w:r w:rsidRPr="00263886">
      <w:rPr>
        <w:b/>
        <w:noProof/>
        <w:sz w:val="20"/>
        <w:lang w:val="en-US"/>
      </w:rPr>
      <mc:AlternateContent>
        <mc:Choice Requires="wps">
          <w:drawing>
            <wp:anchor distT="0" distB="0" distL="114300" distR="114300" simplePos="0" relativeHeight="251655168" behindDoc="1" locked="1" layoutInCell="1" allowOverlap="1" wp14:anchorId="35C634F1" wp14:editId="0FE9C3A4">
              <wp:simplePos x="0" y="0"/>
              <wp:positionH relativeFrom="page">
                <wp:align>center</wp:align>
              </wp:positionH>
              <wp:positionV relativeFrom="paragraph">
                <wp:posOffset>-317500</wp:posOffset>
              </wp:positionV>
              <wp:extent cx="5773003" cy="395785"/>
              <wp:effectExtent l="0" t="0" r="0" b="4445"/>
              <wp:wrapNone/>
              <wp:docPr id="27" name="Text Box 2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DC90C6" w14:textId="2C058697"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C634F1" id="_x0000_t202" coordsize="21600,21600" o:spt="202" path="m,l,21600r21600,l21600,xe">
              <v:stroke joinstyle="miter"/>
              <v:path gradientshapeok="t" o:connecttype="rect"/>
            </v:shapetype>
            <v:shape id="Text Box 27" o:spid="_x0000_s1035" type="#_x0000_t202" alt="Sec-Headerprimary" style="position:absolute;left:0;text-align:left;margin-left:0;margin-top:-25pt;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23DC90C6" w14:textId="2C058697"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8379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169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169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8379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8379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D63EF6" w:rsidRPr="00A961C4">
      <w:rPr>
        <w:sz w:val="20"/>
      </w:rPr>
      <w:fldChar w:fldCharType="begin"/>
    </w:r>
    <w:r w:rsidR="0048364F" w:rsidRPr="00A961C4">
      <w:rPr>
        <w:sz w:val="20"/>
      </w:rPr>
      <w:instrText xml:space="preserve"> STYLEREF CharAmSchText </w:instrText>
    </w:r>
    <w:r w:rsidR="00783799">
      <w:rPr>
        <w:sz w:val="20"/>
      </w:rPr>
      <w:fldChar w:fldCharType="separate"/>
    </w:r>
    <w:r w:rsidR="00783799">
      <w:rPr>
        <w:noProof/>
        <w:sz w:val="20"/>
      </w:rPr>
      <w:t>Amendments</w:t>
    </w:r>
    <w:r w:rsidR="00D63EF6" w:rsidRPr="00A961C4">
      <w:rPr>
        <w:sz w:val="20"/>
      </w:rPr>
      <w:fldChar w:fldCharType="end"/>
    </w:r>
    <w:r w:rsidR="0048364F" w:rsidRPr="00A961C4">
      <w:rPr>
        <w:sz w:val="20"/>
      </w:rPr>
      <w:t xml:space="preserve"> </w:t>
    </w:r>
    <w:r w:rsidR="0048364F" w:rsidRPr="00A961C4">
      <w:rPr>
        <w:b/>
        <w:sz w:val="20"/>
      </w:rPr>
      <w:t xml:space="preserve"> </w:t>
    </w:r>
    <w:r w:rsidR="00D63EF6">
      <w:rPr>
        <w:b/>
        <w:sz w:val="20"/>
      </w:rPr>
      <w:fldChar w:fldCharType="begin"/>
    </w:r>
    <w:r w:rsidR="0048364F">
      <w:rPr>
        <w:b/>
        <w:sz w:val="20"/>
      </w:rPr>
      <w:instrText xml:space="preserve"> STYLEREF CharAmSchNo </w:instrText>
    </w:r>
    <w:r w:rsidR="00783799">
      <w:rPr>
        <w:b/>
        <w:sz w:val="20"/>
      </w:rPr>
      <w:fldChar w:fldCharType="separate"/>
    </w:r>
    <w:r w:rsidR="00783799">
      <w:rPr>
        <w:b/>
        <w:noProof/>
        <w:sz w:val="20"/>
      </w:rPr>
      <w:t>Schedule 1</w:t>
    </w:r>
    <w:r w:rsidR="00D63EF6">
      <w:rPr>
        <w:b/>
        <w:sz w:val="20"/>
      </w:rPr>
      <w:fldChar w:fldCharType="end"/>
    </w:r>
  </w:p>
  <w:p w14:paraId="35135FB4" w14:textId="4574484B"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434B43F3" w14:textId="77777777"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59B8" w14:textId="77777777"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85687928">
    <w:abstractNumId w:val="9"/>
  </w:num>
  <w:num w:numId="2" w16cid:durableId="965356089">
    <w:abstractNumId w:val="7"/>
  </w:num>
  <w:num w:numId="3" w16cid:durableId="444547432">
    <w:abstractNumId w:val="6"/>
  </w:num>
  <w:num w:numId="4" w16cid:durableId="143739022">
    <w:abstractNumId w:val="5"/>
  </w:num>
  <w:num w:numId="5" w16cid:durableId="37511579">
    <w:abstractNumId w:val="4"/>
  </w:num>
  <w:num w:numId="6" w16cid:durableId="1296526634">
    <w:abstractNumId w:val="8"/>
  </w:num>
  <w:num w:numId="7" w16cid:durableId="328292266">
    <w:abstractNumId w:val="3"/>
  </w:num>
  <w:num w:numId="8" w16cid:durableId="600457442">
    <w:abstractNumId w:val="2"/>
  </w:num>
  <w:num w:numId="9" w16cid:durableId="235019356">
    <w:abstractNumId w:val="1"/>
  </w:num>
  <w:num w:numId="10" w16cid:durableId="177618624">
    <w:abstractNumId w:val="0"/>
  </w:num>
  <w:num w:numId="11" w16cid:durableId="53047330">
    <w:abstractNumId w:val="15"/>
  </w:num>
  <w:num w:numId="12" w16cid:durableId="1033462624">
    <w:abstractNumId w:val="11"/>
  </w:num>
  <w:num w:numId="13" w16cid:durableId="1370838430">
    <w:abstractNumId w:val="12"/>
  </w:num>
  <w:num w:numId="14" w16cid:durableId="818302223">
    <w:abstractNumId w:val="14"/>
  </w:num>
  <w:num w:numId="15" w16cid:durableId="960771554">
    <w:abstractNumId w:val="13"/>
  </w:num>
  <w:num w:numId="16" w16cid:durableId="1658803668">
    <w:abstractNumId w:val="10"/>
  </w:num>
  <w:num w:numId="17" w16cid:durableId="361974480">
    <w:abstractNumId w:val="17"/>
  </w:num>
  <w:num w:numId="18" w16cid:durableId="12061430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view w:val="normal"/>
  <w:zoom w:val="fullPage" w:percent="116"/>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5035E"/>
    <w:rsid w:val="00000263"/>
    <w:rsid w:val="000113BC"/>
    <w:rsid w:val="000136AF"/>
    <w:rsid w:val="00035D1F"/>
    <w:rsid w:val="00036E24"/>
    <w:rsid w:val="0004044E"/>
    <w:rsid w:val="000413AC"/>
    <w:rsid w:val="00044411"/>
    <w:rsid w:val="00046F47"/>
    <w:rsid w:val="0005120E"/>
    <w:rsid w:val="00054577"/>
    <w:rsid w:val="000614BF"/>
    <w:rsid w:val="0007169C"/>
    <w:rsid w:val="00077593"/>
    <w:rsid w:val="00083F48"/>
    <w:rsid w:val="000A7DF9"/>
    <w:rsid w:val="000D04D7"/>
    <w:rsid w:val="000D05EF"/>
    <w:rsid w:val="000D5485"/>
    <w:rsid w:val="000F21C1"/>
    <w:rsid w:val="000F4E82"/>
    <w:rsid w:val="00105D72"/>
    <w:rsid w:val="0010745C"/>
    <w:rsid w:val="001169FE"/>
    <w:rsid w:val="00117277"/>
    <w:rsid w:val="001514AC"/>
    <w:rsid w:val="00155873"/>
    <w:rsid w:val="00160AA6"/>
    <w:rsid w:val="00160BD7"/>
    <w:rsid w:val="001643C9"/>
    <w:rsid w:val="00165568"/>
    <w:rsid w:val="00166082"/>
    <w:rsid w:val="00166C2F"/>
    <w:rsid w:val="001716C9"/>
    <w:rsid w:val="001724B2"/>
    <w:rsid w:val="00184261"/>
    <w:rsid w:val="00190BA1"/>
    <w:rsid w:val="00190DF5"/>
    <w:rsid w:val="00193461"/>
    <w:rsid w:val="001939E1"/>
    <w:rsid w:val="00195382"/>
    <w:rsid w:val="0019671A"/>
    <w:rsid w:val="001A3B9F"/>
    <w:rsid w:val="001A4302"/>
    <w:rsid w:val="001A65C0"/>
    <w:rsid w:val="001B6456"/>
    <w:rsid w:val="001B7A5D"/>
    <w:rsid w:val="001C69C4"/>
    <w:rsid w:val="001C70D9"/>
    <w:rsid w:val="001E0A8D"/>
    <w:rsid w:val="001E3590"/>
    <w:rsid w:val="001E4724"/>
    <w:rsid w:val="001E7407"/>
    <w:rsid w:val="001F369B"/>
    <w:rsid w:val="00201D27"/>
    <w:rsid w:val="0020300C"/>
    <w:rsid w:val="00204322"/>
    <w:rsid w:val="00220A0C"/>
    <w:rsid w:val="00223E4A"/>
    <w:rsid w:val="002302EA"/>
    <w:rsid w:val="002328C9"/>
    <w:rsid w:val="00240749"/>
    <w:rsid w:val="00244F13"/>
    <w:rsid w:val="002468D7"/>
    <w:rsid w:val="00263886"/>
    <w:rsid w:val="00274F15"/>
    <w:rsid w:val="00285CDD"/>
    <w:rsid w:val="00291167"/>
    <w:rsid w:val="00297ECB"/>
    <w:rsid w:val="002C152A"/>
    <w:rsid w:val="002D043A"/>
    <w:rsid w:val="0031713F"/>
    <w:rsid w:val="003173B2"/>
    <w:rsid w:val="00321913"/>
    <w:rsid w:val="00324EE6"/>
    <w:rsid w:val="003316DC"/>
    <w:rsid w:val="00332E0D"/>
    <w:rsid w:val="003415D3"/>
    <w:rsid w:val="00346335"/>
    <w:rsid w:val="00352B0F"/>
    <w:rsid w:val="003561B0"/>
    <w:rsid w:val="00367960"/>
    <w:rsid w:val="003A15AC"/>
    <w:rsid w:val="003A56EB"/>
    <w:rsid w:val="003B0627"/>
    <w:rsid w:val="003C2993"/>
    <w:rsid w:val="003C488C"/>
    <w:rsid w:val="003C5F2B"/>
    <w:rsid w:val="003D0BFE"/>
    <w:rsid w:val="003D5700"/>
    <w:rsid w:val="003F0F5A"/>
    <w:rsid w:val="00400A30"/>
    <w:rsid w:val="004022CA"/>
    <w:rsid w:val="004116CD"/>
    <w:rsid w:val="00414ADE"/>
    <w:rsid w:val="00424CA9"/>
    <w:rsid w:val="004257BB"/>
    <w:rsid w:val="004261D9"/>
    <w:rsid w:val="0044291A"/>
    <w:rsid w:val="0045218F"/>
    <w:rsid w:val="00460499"/>
    <w:rsid w:val="00474835"/>
    <w:rsid w:val="004819C7"/>
    <w:rsid w:val="0048364F"/>
    <w:rsid w:val="00490F2E"/>
    <w:rsid w:val="00496DB3"/>
    <w:rsid w:val="00496F97"/>
    <w:rsid w:val="004A53EA"/>
    <w:rsid w:val="004D3821"/>
    <w:rsid w:val="004F1FAC"/>
    <w:rsid w:val="004F676E"/>
    <w:rsid w:val="004F679B"/>
    <w:rsid w:val="00516B8D"/>
    <w:rsid w:val="00523D8D"/>
    <w:rsid w:val="0052686F"/>
    <w:rsid w:val="0052756C"/>
    <w:rsid w:val="00530230"/>
    <w:rsid w:val="00530CC9"/>
    <w:rsid w:val="00537FBC"/>
    <w:rsid w:val="00541D73"/>
    <w:rsid w:val="00543469"/>
    <w:rsid w:val="005452CC"/>
    <w:rsid w:val="00546FA3"/>
    <w:rsid w:val="00554243"/>
    <w:rsid w:val="00554655"/>
    <w:rsid w:val="00557C7A"/>
    <w:rsid w:val="00562A58"/>
    <w:rsid w:val="00571029"/>
    <w:rsid w:val="0057518B"/>
    <w:rsid w:val="00581211"/>
    <w:rsid w:val="00584811"/>
    <w:rsid w:val="00593AA6"/>
    <w:rsid w:val="00594161"/>
    <w:rsid w:val="00594512"/>
    <w:rsid w:val="00594749"/>
    <w:rsid w:val="005A482B"/>
    <w:rsid w:val="005B0552"/>
    <w:rsid w:val="005B4067"/>
    <w:rsid w:val="005C36E0"/>
    <w:rsid w:val="005C3F41"/>
    <w:rsid w:val="005D168D"/>
    <w:rsid w:val="005D5EA1"/>
    <w:rsid w:val="005E505D"/>
    <w:rsid w:val="005E61D3"/>
    <w:rsid w:val="005F4840"/>
    <w:rsid w:val="005F7738"/>
    <w:rsid w:val="00600219"/>
    <w:rsid w:val="00613EAD"/>
    <w:rsid w:val="006158AC"/>
    <w:rsid w:val="00640402"/>
    <w:rsid w:val="00640F78"/>
    <w:rsid w:val="00646E7B"/>
    <w:rsid w:val="00655D6A"/>
    <w:rsid w:val="00656DE9"/>
    <w:rsid w:val="00674769"/>
    <w:rsid w:val="00677CC2"/>
    <w:rsid w:val="00685F42"/>
    <w:rsid w:val="006866A1"/>
    <w:rsid w:val="0069207B"/>
    <w:rsid w:val="006A0077"/>
    <w:rsid w:val="006A4309"/>
    <w:rsid w:val="006B0E55"/>
    <w:rsid w:val="006B7006"/>
    <w:rsid w:val="006C78AB"/>
    <w:rsid w:val="006C7F8C"/>
    <w:rsid w:val="006D7AB9"/>
    <w:rsid w:val="006E0E76"/>
    <w:rsid w:val="00700B2C"/>
    <w:rsid w:val="00713084"/>
    <w:rsid w:val="00720FC2"/>
    <w:rsid w:val="00731E00"/>
    <w:rsid w:val="00732E9D"/>
    <w:rsid w:val="0073491A"/>
    <w:rsid w:val="007440B7"/>
    <w:rsid w:val="007473C5"/>
    <w:rsid w:val="00747993"/>
    <w:rsid w:val="00751461"/>
    <w:rsid w:val="007634AD"/>
    <w:rsid w:val="007715C9"/>
    <w:rsid w:val="00772AA6"/>
    <w:rsid w:val="00774EDD"/>
    <w:rsid w:val="007757EC"/>
    <w:rsid w:val="00783799"/>
    <w:rsid w:val="007A115D"/>
    <w:rsid w:val="007A35E6"/>
    <w:rsid w:val="007A6863"/>
    <w:rsid w:val="007B20C2"/>
    <w:rsid w:val="007C2E0C"/>
    <w:rsid w:val="007C61A8"/>
    <w:rsid w:val="007D45C1"/>
    <w:rsid w:val="007E7D4A"/>
    <w:rsid w:val="007F48ED"/>
    <w:rsid w:val="007F7947"/>
    <w:rsid w:val="00800ACB"/>
    <w:rsid w:val="008073F6"/>
    <w:rsid w:val="00812F45"/>
    <w:rsid w:val="00816FF0"/>
    <w:rsid w:val="00823429"/>
    <w:rsid w:val="00823B55"/>
    <w:rsid w:val="0084172C"/>
    <w:rsid w:val="00856A31"/>
    <w:rsid w:val="008754D0"/>
    <w:rsid w:val="00877D48"/>
    <w:rsid w:val="008816F0"/>
    <w:rsid w:val="0088345B"/>
    <w:rsid w:val="008A16A5"/>
    <w:rsid w:val="008A7F61"/>
    <w:rsid w:val="008B5D42"/>
    <w:rsid w:val="008B6FF7"/>
    <w:rsid w:val="008B7626"/>
    <w:rsid w:val="008C2B5D"/>
    <w:rsid w:val="008D0EE0"/>
    <w:rsid w:val="008D5B99"/>
    <w:rsid w:val="008D7A27"/>
    <w:rsid w:val="008E4702"/>
    <w:rsid w:val="008E69AA"/>
    <w:rsid w:val="008F4F1C"/>
    <w:rsid w:val="00911310"/>
    <w:rsid w:val="00922764"/>
    <w:rsid w:val="00932377"/>
    <w:rsid w:val="009408EA"/>
    <w:rsid w:val="00943102"/>
    <w:rsid w:val="0094523D"/>
    <w:rsid w:val="009559E6"/>
    <w:rsid w:val="00976A63"/>
    <w:rsid w:val="00983419"/>
    <w:rsid w:val="00986DBE"/>
    <w:rsid w:val="00994821"/>
    <w:rsid w:val="009B2AA2"/>
    <w:rsid w:val="009C3431"/>
    <w:rsid w:val="009C4C35"/>
    <w:rsid w:val="009C5989"/>
    <w:rsid w:val="009D08DA"/>
    <w:rsid w:val="00A06860"/>
    <w:rsid w:val="00A136F5"/>
    <w:rsid w:val="00A231E2"/>
    <w:rsid w:val="00A2550D"/>
    <w:rsid w:val="00A33AEC"/>
    <w:rsid w:val="00A4169B"/>
    <w:rsid w:val="00A445F2"/>
    <w:rsid w:val="00A50D55"/>
    <w:rsid w:val="00A5165B"/>
    <w:rsid w:val="00A52FDA"/>
    <w:rsid w:val="00A64912"/>
    <w:rsid w:val="00A70A74"/>
    <w:rsid w:val="00A90EA8"/>
    <w:rsid w:val="00AA0343"/>
    <w:rsid w:val="00AA2A5C"/>
    <w:rsid w:val="00AB5DF4"/>
    <w:rsid w:val="00AB78E9"/>
    <w:rsid w:val="00AD3467"/>
    <w:rsid w:val="00AD5641"/>
    <w:rsid w:val="00AD7252"/>
    <w:rsid w:val="00AE0F9B"/>
    <w:rsid w:val="00AF55FF"/>
    <w:rsid w:val="00B032D8"/>
    <w:rsid w:val="00B10546"/>
    <w:rsid w:val="00B33B3C"/>
    <w:rsid w:val="00B40D74"/>
    <w:rsid w:val="00B52663"/>
    <w:rsid w:val="00B56DCB"/>
    <w:rsid w:val="00B770D2"/>
    <w:rsid w:val="00B93AF2"/>
    <w:rsid w:val="00B94F68"/>
    <w:rsid w:val="00BA47A3"/>
    <w:rsid w:val="00BA5026"/>
    <w:rsid w:val="00BB6E79"/>
    <w:rsid w:val="00BE3B31"/>
    <w:rsid w:val="00BE719A"/>
    <w:rsid w:val="00BE720A"/>
    <w:rsid w:val="00BF6650"/>
    <w:rsid w:val="00C067E5"/>
    <w:rsid w:val="00C164CA"/>
    <w:rsid w:val="00C42BF8"/>
    <w:rsid w:val="00C460AE"/>
    <w:rsid w:val="00C50043"/>
    <w:rsid w:val="00C5035E"/>
    <w:rsid w:val="00C50A0F"/>
    <w:rsid w:val="00C634D4"/>
    <w:rsid w:val="00C64233"/>
    <w:rsid w:val="00C7573B"/>
    <w:rsid w:val="00C76CF3"/>
    <w:rsid w:val="00CA7844"/>
    <w:rsid w:val="00CB58EF"/>
    <w:rsid w:val="00CE7D64"/>
    <w:rsid w:val="00CF0BB2"/>
    <w:rsid w:val="00D10B02"/>
    <w:rsid w:val="00D13441"/>
    <w:rsid w:val="00D20665"/>
    <w:rsid w:val="00D243A3"/>
    <w:rsid w:val="00D3200B"/>
    <w:rsid w:val="00D33440"/>
    <w:rsid w:val="00D52EFE"/>
    <w:rsid w:val="00D56A0D"/>
    <w:rsid w:val="00D5767F"/>
    <w:rsid w:val="00D63EF6"/>
    <w:rsid w:val="00D66518"/>
    <w:rsid w:val="00D70DFB"/>
    <w:rsid w:val="00D71EEA"/>
    <w:rsid w:val="00D735CD"/>
    <w:rsid w:val="00D73EB7"/>
    <w:rsid w:val="00D766DF"/>
    <w:rsid w:val="00D95891"/>
    <w:rsid w:val="00DB5CB4"/>
    <w:rsid w:val="00DC4E8C"/>
    <w:rsid w:val="00DE11CC"/>
    <w:rsid w:val="00DE149E"/>
    <w:rsid w:val="00DF663D"/>
    <w:rsid w:val="00E054EC"/>
    <w:rsid w:val="00E05704"/>
    <w:rsid w:val="00E12F1A"/>
    <w:rsid w:val="00E15561"/>
    <w:rsid w:val="00E21CFB"/>
    <w:rsid w:val="00E22935"/>
    <w:rsid w:val="00E54292"/>
    <w:rsid w:val="00E60191"/>
    <w:rsid w:val="00E74DC7"/>
    <w:rsid w:val="00E87699"/>
    <w:rsid w:val="00E92E27"/>
    <w:rsid w:val="00E930BB"/>
    <w:rsid w:val="00E9586B"/>
    <w:rsid w:val="00E97334"/>
    <w:rsid w:val="00EA0D36"/>
    <w:rsid w:val="00ED4928"/>
    <w:rsid w:val="00EE3749"/>
    <w:rsid w:val="00EE6190"/>
    <w:rsid w:val="00EF2E3A"/>
    <w:rsid w:val="00EF6402"/>
    <w:rsid w:val="00F025DF"/>
    <w:rsid w:val="00F040F7"/>
    <w:rsid w:val="00F047E2"/>
    <w:rsid w:val="00F04D57"/>
    <w:rsid w:val="00F078DC"/>
    <w:rsid w:val="00F13E86"/>
    <w:rsid w:val="00F32FCB"/>
    <w:rsid w:val="00F6709F"/>
    <w:rsid w:val="00F677A9"/>
    <w:rsid w:val="00F723BD"/>
    <w:rsid w:val="00F732EA"/>
    <w:rsid w:val="00F84CF5"/>
    <w:rsid w:val="00F8612E"/>
    <w:rsid w:val="00FA420B"/>
    <w:rsid w:val="00FE0781"/>
    <w:rsid w:val="00FF2BD4"/>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F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90DF5"/>
    <w:pPr>
      <w:spacing w:line="260" w:lineRule="atLeast"/>
    </w:pPr>
    <w:rPr>
      <w:sz w:val="22"/>
    </w:rPr>
  </w:style>
  <w:style w:type="paragraph" w:styleId="Heading1">
    <w:name w:val="heading 1"/>
    <w:basedOn w:val="Normal"/>
    <w:next w:val="Normal"/>
    <w:link w:val="Heading1Char"/>
    <w:uiPriority w:val="9"/>
    <w:qFormat/>
    <w:rsid w:val="00190DF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0DF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0DF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0DF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0DF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90DF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90DF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90DF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90DF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90DF5"/>
  </w:style>
  <w:style w:type="paragraph" w:customStyle="1" w:styleId="OPCParaBase">
    <w:name w:val="OPCParaBase"/>
    <w:qFormat/>
    <w:rsid w:val="00190DF5"/>
    <w:pPr>
      <w:spacing w:line="260" w:lineRule="atLeast"/>
    </w:pPr>
    <w:rPr>
      <w:rFonts w:eastAsia="Times New Roman" w:cs="Times New Roman"/>
      <w:sz w:val="22"/>
      <w:lang w:eastAsia="en-AU"/>
    </w:rPr>
  </w:style>
  <w:style w:type="paragraph" w:customStyle="1" w:styleId="ShortT">
    <w:name w:val="ShortT"/>
    <w:basedOn w:val="OPCParaBase"/>
    <w:next w:val="Normal"/>
    <w:qFormat/>
    <w:rsid w:val="00190DF5"/>
    <w:pPr>
      <w:spacing w:line="240" w:lineRule="auto"/>
    </w:pPr>
    <w:rPr>
      <w:b/>
      <w:sz w:val="40"/>
    </w:rPr>
  </w:style>
  <w:style w:type="paragraph" w:customStyle="1" w:styleId="ActHead1">
    <w:name w:val="ActHead 1"/>
    <w:aliases w:val="c"/>
    <w:basedOn w:val="OPCParaBase"/>
    <w:next w:val="Normal"/>
    <w:qFormat/>
    <w:rsid w:val="00190DF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90DF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90DF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90DF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90DF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90DF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90DF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90DF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90DF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90DF5"/>
  </w:style>
  <w:style w:type="paragraph" w:customStyle="1" w:styleId="Blocks">
    <w:name w:val="Blocks"/>
    <w:aliases w:val="bb"/>
    <w:basedOn w:val="OPCParaBase"/>
    <w:qFormat/>
    <w:rsid w:val="00190DF5"/>
    <w:pPr>
      <w:spacing w:line="240" w:lineRule="auto"/>
    </w:pPr>
    <w:rPr>
      <w:sz w:val="24"/>
    </w:rPr>
  </w:style>
  <w:style w:type="paragraph" w:customStyle="1" w:styleId="BoxText">
    <w:name w:val="BoxText"/>
    <w:aliases w:val="bt"/>
    <w:basedOn w:val="OPCParaBase"/>
    <w:qFormat/>
    <w:rsid w:val="00190DF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90DF5"/>
    <w:rPr>
      <w:b/>
    </w:rPr>
  </w:style>
  <w:style w:type="paragraph" w:customStyle="1" w:styleId="BoxHeadItalic">
    <w:name w:val="BoxHeadItalic"/>
    <w:aliases w:val="bhi"/>
    <w:basedOn w:val="BoxText"/>
    <w:next w:val="BoxStep"/>
    <w:qFormat/>
    <w:rsid w:val="00190DF5"/>
    <w:rPr>
      <w:i/>
    </w:rPr>
  </w:style>
  <w:style w:type="paragraph" w:customStyle="1" w:styleId="BoxList">
    <w:name w:val="BoxList"/>
    <w:aliases w:val="bl"/>
    <w:basedOn w:val="BoxText"/>
    <w:qFormat/>
    <w:rsid w:val="00190DF5"/>
    <w:pPr>
      <w:ind w:left="1559" w:hanging="425"/>
    </w:pPr>
  </w:style>
  <w:style w:type="paragraph" w:customStyle="1" w:styleId="BoxNote">
    <w:name w:val="BoxNote"/>
    <w:aliases w:val="bn"/>
    <w:basedOn w:val="BoxText"/>
    <w:qFormat/>
    <w:rsid w:val="00190DF5"/>
    <w:pPr>
      <w:tabs>
        <w:tab w:val="left" w:pos="1985"/>
      </w:tabs>
      <w:spacing w:before="122" w:line="198" w:lineRule="exact"/>
      <w:ind w:left="2948" w:hanging="1814"/>
    </w:pPr>
    <w:rPr>
      <w:sz w:val="18"/>
    </w:rPr>
  </w:style>
  <w:style w:type="paragraph" w:customStyle="1" w:styleId="BoxPara">
    <w:name w:val="BoxPara"/>
    <w:aliases w:val="bp"/>
    <w:basedOn w:val="BoxText"/>
    <w:qFormat/>
    <w:rsid w:val="00190DF5"/>
    <w:pPr>
      <w:tabs>
        <w:tab w:val="right" w:pos="2268"/>
      </w:tabs>
      <w:ind w:left="2552" w:hanging="1418"/>
    </w:pPr>
  </w:style>
  <w:style w:type="paragraph" w:customStyle="1" w:styleId="BoxStep">
    <w:name w:val="BoxStep"/>
    <w:aliases w:val="bs"/>
    <w:basedOn w:val="BoxText"/>
    <w:qFormat/>
    <w:rsid w:val="00190DF5"/>
    <w:pPr>
      <w:ind w:left="1985" w:hanging="851"/>
    </w:pPr>
  </w:style>
  <w:style w:type="character" w:customStyle="1" w:styleId="CharAmPartNo">
    <w:name w:val="CharAmPartNo"/>
    <w:basedOn w:val="OPCCharBase"/>
    <w:qFormat/>
    <w:rsid w:val="00190DF5"/>
  </w:style>
  <w:style w:type="character" w:customStyle="1" w:styleId="CharAmPartText">
    <w:name w:val="CharAmPartText"/>
    <w:basedOn w:val="OPCCharBase"/>
    <w:qFormat/>
    <w:rsid w:val="00190DF5"/>
  </w:style>
  <w:style w:type="character" w:customStyle="1" w:styleId="CharAmSchNo">
    <w:name w:val="CharAmSchNo"/>
    <w:basedOn w:val="OPCCharBase"/>
    <w:qFormat/>
    <w:rsid w:val="00190DF5"/>
  </w:style>
  <w:style w:type="character" w:customStyle="1" w:styleId="CharAmSchText">
    <w:name w:val="CharAmSchText"/>
    <w:basedOn w:val="OPCCharBase"/>
    <w:qFormat/>
    <w:rsid w:val="00190DF5"/>
  </w:style>
  <w:style w:type="character" w:customStyle="1" w:styleId="CharBoldItalic">
    <w:name w:val="CharBoldItalic"/>
    <w:basedOn w:val="OPCCharBase"/>
    <w:uiPriority w:val="1"/>
    <w:qFormat/>
    <w:rsid w:val="00190DF5"/>
    <w:rPr>
      <w:b/>
      <w:i/>
    </w:rPr>
  </w:style>
  <w:style w:type="character" w:customStyle="1" w:styleId="CharChapNo">
    <w:name w:val="CharChapNo"/>
    <w:basedOn w:val="OPCCharBase"/>
    <w:uiPriority w:val="1"/>
    <w:qFormat/>
    <w:rsid w:val="00190DF5"/>
  </w:style>
  <w:style w:type="character" w:customStyle="1" w:styleId="CharChapText">
    <w:name w:val="CharChapText"/>
    <w:basedOn w:val="OPCCharBase"/>
    <w:uiPriority w:val="1"/>
    <w:qFormat/>
    <w:rsid w:val="00190DF5"/>
  </w:style>
  <w:style w:type="character" w:customStyle="1" w:styleId="CharDivNo">
    <w:name w:val="CharDivNo"/>
    <w:basedOn w:val="OPCCharBase"/>
    <w:uiPriority w:val="1"/>
    <w:qFormat/>
    <w:rsid w:val="00190DF5"/>
  </w:style>
  <w:style w:type="character" w:customStyle="1" w:styleId="CharDivText">
    <w:name w:val="CharDivText"/>
    <w:basedOn w:val="OPCCharBase"/>
    <w:uiPriority w:val="1"/>
    <w:qFormat/>
    <w:rsid w:val="00190DF5"/>
  </w:style>
  <w:style w:type="character" w:customStyle="1" w:styleId="CharItalic">
    <w:name w:val="CharItalic"/>
    <w:basedOn w:val="OPCCharBase"/>
    <w:uiPriority w:val="1"/>
    <w:qFormat/>
    <w:rsid w:val="00190DF5"/>
    <w:rPr>
      <w:i/>
    </w:rPr>
  </w:style>
  <w:style w:type="character" w:customStyle="1" w:styleId="CharPartNo">
    <w:name w:val="CharPartNo"/>
    <w:basedOn w:val="OPCCharBase"/>
    <w:uiPriority w:val="1"/>
    <w:qFormat/>
    <w:rsid w:val="00190DF5"/>
  </w:style>
  <w:style w:type="character" w:customStyle="1" w:styleId="CharPartText">
    <w:name w:val="CharPartText"/>
    <w:basedOn w:val="OPCCharBase"/>
    <w:uiPriority w:val="1"/>
    <w:qFormat/>
    <w:rsid w:val="00190DF5"/>
  </w:style>
  <w:style w:type="character" w:customStyle="1" w:styleId="CharSectno">
    <w:name w:val="CharSectno"/>
    <w:basedOn w:val="OPCCharBase"/>
    <w:qFormat/>
    <w:rsid w:val="00190DF5"/>
  </w:style>
  <w:style w:type="character" w:customStyle="1" w:styleId="CharSubdNo">
    <w:name w:val="CharSubdNo"/>
    <w:basedOn w:val="OPCCharBase"/>
    <w:uiPriority w:val="1"/>
    <w:qFormat/>
    <w:rsid w:val="00190DF5"/>
  </w:style>
  <w:style w:type="character" w:customStyle="1" w:styleId="CharSubdText">
    <w:name w:val="CharSubdText"/>
    <w:basedOn w:val="OPCCharBase"/>
    <w:uiPriority w:val="1"/>
    <w:qFormat/>
    <w:rsid w:val="00190DF5"/>
  </w:style>
  <w:style w:type="paragraph" w:customStyle="1" w:styleId="CTA--">
    <w:name w:val="CTA --"/>
    <w:basedOn w:val="OPCParaBase"/>
    <w:next w:val="Normal"/>
    <w:rsid w:val="00190DF5"/>
    <w:pPr>
      <w:spacing w:before="60" w:line="240" w:lineRule="atLeast"/>
      <w:ind w:left="142" w:hanging="142"/>
    </w:pPr>
    <w:rPr>
      <w:sz w:val="20"/>
    </w:rPr>
  </w:style>
  <w:style w:type="paragraph" w:customStyle="1" w:styleId="CTA-">
    <w:name w:val="CTA -"/>
    <w:basedOn w:val="OPCParaBase"/>
    <w:rsid w:val="00190DF5"/>
    <w:pPr>
      <w:spacing w:before="60" w:line="240" w:lineRule="atLeast"/>
      <w:ind w:left="85" w:hanging="85"/>
    </w:pPr>
    <w:rPr>
      <w:sz w:val="20"/>
    </w:rPr>
  </w:style>
  <w:style w:type="paragraph" w:customStyle="1" w:styleId="CTA---">
    <w:name w:val="CTA ---"/>
    <w:basedOn w:val="OPCParaBase"/>
    <w:next w:val="Normal"/>
    <w:rsid w:val="00190DF5"/>
    <w:pPr>
      <w:spacing w:before="60" w:line="240" w:lineRule="atLeast"/>
      <w:ind w:left="198" w:hanging="198"/>
    </w:pPr>
    <w:rPr>
      <w:sz w:val="20"/>
    </w:rPr>
  </w:style>
  <w:style w:type="paragraph" w:customStyle="1" w:styleId="CTA----">
    <w:name w:val="CTA ----"/>
    <w:basedOn w:val="OPCParaBase"/>
    <w:next w:val="Normal"/>
    <w:rsid w:val="00190DF5"/>
    <w:pPr>
      <w:spacing w:before="60" w:line="240" w:lineRule="atLeast"/>
      <w:ind w:left="255" w:hanging="255"/>
    </w:pPr>
    <w:rPr>
      <w:sz w:val="20"/>
    </w:rPr>
  </w:style>
  <w:style w:type="paragraph" w:customStyle="1" w:styleId="CTA1a">
    <w:name w:val="CTA 1(a)"/>
    <w:basedOn w:val="OPCParaBase"/>
    <w:rsid w:val="00190DF5"/>
    <w:pPr>
      <w:tabs>
        <w:tab w:val="right" w:pos="414"/>
      </w:tabs>
      <w:spacing w:before="40" w:line="240" w:lineRule="atLeast"/>
      <w:ind w:left="675" w:hanging="675"/>
    </w:pPr>
    <w:rPr>
      <w:sz w:val="20"/>
    </w:rPr>
  </w:style>
  <w:style w:type="paragraph" w:customStyle="1" w:styleId="CTA1ai">
    <w:name w:val="CTA 1(a)(i)"/>
    <w:basedOn w:val="OPCParaBase"/>
    <w:rsid w:val="00190DF5"/>
    <w:pPr>
      <w:tabs>
        <w:tab w:val="right" w:pos="1004"/>
      </w:tabs>
      <w:spacing w:before="40" w:line="240" w:lineRule="atLeast"/>
      <w:ind w:left="1253" w:hanging="1253"/>
    </w:pPr>
    <w:rPr>
      <w:sz w:val="20"/>
    </w:rPr>
  </w:style>
  <w:style w:type="paragraph" w:customStyle="1" w:styleId="CTA2a">
    <w:name w:val="CTA 2(a)"/>
    <w:basedOn w:val="OPCParaBase"/>
    <w:rsid w:val="00190DF5"/>
    <w:pPr>
      <w:tabs>
        <w:tab w:val="right" w:pos="482"/>
      </w:tabs>
      <w:spacing w:before="40" w:line="240" w:lineRule="atLeast"/>
      <w:ind w:left="748" w:hanging="748"/>
    </w:pPr>
    <w:rPr>
      <w:sz w:val="20"/>
    </w:rPr>
  </w:style>
  <w:style w:type="paragraph" w:customStyle="1" w:styleId="CTA2ai">
    <w:name w:val="CTA 2(a)(i)"/>
    <w:basedOn w:val="OPCParaBase"/>
    <w:rsid w:val="00190DF5"/>
    <w:pPr>
      <w:tabs>
        <w:tab w:val="right" w:pos="1089"/>
      </w:tabs>
      <w:spacing w:before="40" w:line="240" w:lineRule="atLeast"/>
      <w:ind w:left="1327" w:hanging="1327"/>
    </w:pPr>
    <w:rPr>
      <w:sz w:val="20"/>
    </w:rPr>
  </w:style>
  <w:style w:type="paragraph" w:customStyle="1" w:styleId="CTA3a">
    <w:name w:val="CTA 3(a)"/>
    <w:basedOn w:val="OPCParaBase"/>
    <w:rsid w:val="00190DF5"/>
    <w:pPr>
      <w:tabs>
        <w:tab w:val="right" w:pos="556"/>
      </w:tabs>
      <w:spacing w:before="40" w:line="240" w:lineRule="atLeast"/>
      <w:ind w:left="805" w:hanging="805"/>
    </w:pPr>
    <w:rPr>
      <w:sz w:val="20"/>
    </w:rPr>
  </w:style>
  <w:style w:type="paragraph" w:customStyle="1" w:styleId="CTA3ai">
    <w:name w:val="CTA 3(a)(i)"/>
    <w:basedOn w:val="OPCParaBase"/>
    <w:rsid w:val="00190DF5"/>
    <w:pPr>
      <w:tabs>
        <w:tab w:val="right" w:pos="1140"/>
      </w:tabs>
      <w:spacing w:before="40" w:line="240" w:lineRule="atLeast"/>
      <w:ind w:left="1361" w:hanging="1361"/>
    </w:pPr>
    <w:rPr>
      <w:sz w:val="20"/>
    </w:rPr>
  </w:style>
  <w:style w:type="paragraph" w:customStyle="1" w:styleId="CTA4a">
    <w:name w:val="CTA 4(a)"/>
    <w:basedOn w:val="OPCParaBase"/>
    <w:rsid w:val="00190DF5"/>
    <w:pPr>
      <w:tabs>
        <w:tab w:val="right" w:pos="624"/>
      </w:tabs>
      <w:spacing w:before="40" w:line="240" w:lineRule="atLeast"/>
      <w:ind w:left="873" w:hanging="873"/>
    </w:pPr>
    <w:rPr>
      <w:sz w:val="20"/>
    </w:rPr>
  </w:style>
  <w:style w:type="paragraph" w:customStyle="1" w:styleId="CTA4ai">
    <w:name w:val="CTA 4(a)(i)"/>
    <w:basedOn w:val="OPCParaBase"/>
    <w:rsid w:val="00190DF5"/>
    <w:pPr>
      <w:tabs>
        <w:tab w:val="right" w:pos="1213"/>
      </w:tabs>
      <w:spacing w:before="40" w:line="240" w:lineRule="atLeast"/>
      <w:ind w:left="1452" w:hanging="1452"/>
    </w:pPr>
    <w:rPr>
      <w:sz w:val="20"/>
    </w:rPr>
  </w:style>
  <w:style w:type="paragraph" w:customStyle="1" w:styleId="CTACAPS">
    <w:name w:val="CTA CAPS"/>
    <w:basedOn w:val="OPCParaBase"/>
    <w:rsid w:val="00190DF5"/>
    <w:pPr>
      <w:spacing w:before="60" w:line="240" w:lineRule="atLeast"/>
    </w:pPr>
    <w:rPr>
      <w:sz w:val="20"/>
    </w:rPr>
  </w:style>
  <w:style w:type="paragraph" w:customStyle="1" w:styleId="CTAright">
    <w:name w:val="CTA right"/>
    <w:basedOn w:val="OPCParaBase"/>
    <w:rsid w:val="00190DF5"/>
    <w:pPr>
      <w:spacing w:before="60" w:line="240" w:lineRule="auto"/>
      <w:jc w:val="right"/>
    </w:pPr>
    <w:rPr>
      <w:sz w:val="20"/>
    </w:rPr>
  </w:style>
  <w:style w:type="paragraph" w:customStyle="1" w:styleId="subsection">
    <w:name w:val="subsection"/>
    <w:aliases w:val="ss"/>
    <w:basedOn w:val="OPCParaBase"/>
    <w:link w:val="subsectionChar"/>
    <w:rsid w:val="00190DF5"/>
    <w:pPr>
      <w:tabs>
        <w:tab w:val="right" w:pos="1021"/>
      </w:tabs>
      <w:spacing w:before="180" w:line="240" w:lineRule="auto"/>
      <w:ind w:left="1134" w:hanging="1134"/>
    </w:pPr>
  </w:style>
  <w:style w:type="paragraph" w:customStyle="1" w:styleId="Definition">
    <w:name w:val="Definition"/>
    <w:aliases w:val="dd"/>
    <w:basedOn w:val="OPCParaBase"/>
    <w:rsid w:val="00190DF5"/>
    <w:pPr>
      <w:spacing w:before="180" w:line="240" w:lineRule="auto"/>
      <w:ind w:left="1134"/>
    </w:pPr>
  </w:style>
  <w:style w:type="paragraph" w:customStyle="1" w:styleId="ETAsubitem">
    <w:name w:val="ETA(subitem)"/>
    <w:basedOn w:val="OPCParaBase"/>
    <w:rsid w:val="00190DF5"/>
    <w:pPr>
      <w:tabs>
        <w:tab w:val="right" w:pos="340"/>
      </w:tabs>
      <w:spacing w:before="60" w:line="240" w:lineRule="auto"/>
      <w:ind w:left="454" w:hanging="454"/>
    </w:pPr>
    <w:rPr>
      <w:sz w:val="20"/>
    </w:rPr>
  </w:style>
  <w:style w:type="paragraph" w:customStyle="1" w:styleId="ETApara">
    <w:name w:val="ETA(para)"/>
    <w:basedOn w:val="OPCParaBase"/>
    <w:rsid w:val="00190DF5"/>
    <w:pPr>
      <w:tabs>
        <w:tab w:val="right" w:pos="754"/>
      </w:tabs>
      <w:spacing w:before="60" w:line="240" w:lineRule="auto"/>
      <w:ind w:left="828" w:hanging="828"/>
    </w:pPr>
    <w:rPr>
      <w:sz w:val="20"/>
    </w:rPr>
  </w:style>
  <w:style w:type="paragraph" w:customStyle="1" w:styleId="ETAsubpara">
    <w:name w:val="ETA(subpara)"/>
    <w:basedOn w:val="OPCParaBase"/>
    <w:rsid w:val="00190DF5"/>
    <w:pPr>
      <w:tabs>
        <w:tab w:val="right" w:pos="1083"/>
      </w:tabs>
      <w:spacing w:before="60" w:line="240" w:lineRule="auto"/>
      <w:ind w:left="1191" w:hanging="1191"/>
    </w:pPr>
    <w:rPr>
      <w:sz w:val="20"/>
    </w:rPr>
  </w:style>
  <w:style w:type="paragraph" w:customStyle="1" w:styleId="ETAsub-subpara">
    <w:name w:val="ETA(sub-subpara)"/>
    <w:basedOn w:val="OPCParaBase"/>
    <w:rsid w:val="00190DF5"/>
    <w:pPr>
      <w:tabs>
        <w:tab w:val="right" w:pos="1412"/>
      </w:tabs>
      <w:spacing w:before="60" w:line="240" w:lineRule="auto"/>
      <w:ind w:left="1525" w:hanging="1525"/>
    </w:pPr>
    <w:rPr>
      <w:sz w:val="20"/>
    </w:rPr>
  </w:style>
  <w:style w:type="paragraph" w:customStyle="1" w:styleId="Formula">
    <w:name w:val="Formula"/>
    <w:basedOn w:val="OPCParaBase"/>
    <w:rsid w:val="00190DF5"/>
    <w:pPr>
      <w:spacing w:line="240" w:lineRule="auto"/>
      <w:ind w:left="1134"/>
    </w:pPr>
    <w:rPr>
      <w:sz w:val="20"/>
    </w:rPr>
  </w:style>
  <w:style w:type="paragraph" w:styleId="Header">
    <w:name w:val="header"/>
    <w:basedOn w:val="OPCParaBase"/>
    <w:link w:val="HeaderChar"/>
    <w:unhideWhenUsed/>
    <w:rsid w:val="00190DF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90DF5"/>
    <w:rPr>
      <w:rFonts w:eastAsia="Times New Roman" w:cs="Times New Roman"/>
      <w:sz w:val="16"/>
      <w:lang w:eastAsia="en-AU"/>
    </w:rPr>
  </w:style>
  <w:style w:type="paragraph" w:customStyle="1" w:styleId="House">
    <w:name w:val="House"/>
    <w:basedOn w:val="OPCParaBase"/>
    <w:rsid w:val="00190DF5"/>
    <w:pPr>
      <w:spacing w:line="240" w:lineRule="auto"/>
    </w:pPr>
    <w:rPr>
      <w:sz w:val="28"/>
    </w:rPr>
  </w:style>
  <w:style w:type="paragraph" w:customStyle="1" w:styleId="Item">
    <w:name w:val="Item"/>
    <w:aliases w:val="i"/>
    <w:basedOn w:val="OPCParaBase"/>
    <w:next w:val="ItemHead"/>
    <w:rsid w:val="00190DF5"/>
    <w:pPr>
      <w:keepLines/>
      <w:spacing w:before="80" w:line="240" w:lineRule="auto"/>
      <w:ind w:left="709"/>
    </w:pPr>
  </w:style>
  <w:style w:type="paragraph" w:customStyle="1" w:styleId="ItemHead">
    <w:name w:val="ItemHead"/>
    <w:aliases w:val="ih"/>
    <w:basedOn w:val="OPCParaBase"/>
    <w:next w:val="Item"/>
    <w:rsid w:val="00190DF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90DF5"/>
    <w:pPr>
      <w:spacing w:line="240" w:lineRule="auto"/>
    </w:pPr>
    <w:rPr>
      <w:b/>
      <w:sz w:val="32"/>
    </w:rPr>
  </w:style>
  <w:style w:type="paragraph" w:customStyle="1" w:styleId="notedraft">
    <w:name w:val="note(draft)"/>
    <w:aliases w:val="nd"/>
    <w:basedOn w:val="OPCParaBase"/>
    <w:rsid w:val="00190DF5"/>
    <w:pPr>
      <w:spacing w:before="240" w:line="240" w:lineRule="auto"/>
      <w:ind w:left="284" w:hanging="284"/>
    </w:pPr>
    <w:rPr>
      <w:i/>
      <w:sz w:val="24"/>
    </w:rPr>
  </w:style>
  <w:style w:type="paragraph" w:customStyle="1" w:styleId="notemargin">
    <w:name w:val="note(margin)"/>
    <w:aliases w:val="nm"/>
    <w:basedOn w:val="OPCParaBase"/>
    <w:rsid w:val="00190DF5"/>
    <w:pPr>
      <w:tabs>
        <w:tab w:val="left" w:pos="709"/>
      </w:tabs>
      <w:spacing w:before="122" w:line="198" w:lineRule="exact"/>
      <w:ind w:left="709" w:hanging="709"/>
    </w:pPr>
    <w:rPr>
      <w:sz w:val="18"/>
    </w:rPr>
  </w:style>
  <w:style w:type="paragraph" w:customStyle="1" w:styleId="noteToPara">
    <w:name w:val="noteToPara"/>
    <w:aliases w:val="ntp"/>
    <w:basedOn w:val="OPCParaBase"/>
    <w:rsid w:val="00190DF5"/>
    <w:pPr>
      <w:spacing w:before="122" w:line="198" w:lineRule="exact"/>
      <w:ind w:left="2353" w:hanging="709"/>
    </w:pPr>
    <w:rPr>
      <w:sz w:val="18"/>
    </w:rPr>
  </w:style>
  <w:style w:type="paragraph" w:customStyle="1" w:styleId="noteParlAmend">
    <w:name w:val="note(ParlAmend)"/>
    <w:aliases w:val="npp"/>
    <w:basedOn w:val="OPCParaBase"/>
    <w:next w:val="ParlAmend"/>
    <w:rsid w:val="00190DF5"/>
    <w:pPr>
      <w:spacing w:line="240" w:lineRule="auto"/>
      <w:jc w:val="right"/>
    </w:pPr>
    <w:rPr>
      <w:rFonts w:ascii="Arial" w:hAnsi="Arial"/>
      <w:b/>
      <w:i/>
    </w:rPr>
  </w:style>
  <w:style w:type="paragraph" w:customStyle="1" w:styleId="Page1">
    <w:name w:val="Page1"/>
    <w:basedOn w:val="OPCParaBase"/>
    <w:rsid w:val="00190DF5"/>
    <w:pPr>
      <w:spacing w:before="5600" w:line="240" w:lineRule="auto"/>
    </w:pPr>
    <w:rPr>
      <w:b/>
      <w:sz w:val="32"/>
    </w:rPr>
  </w:style>
  <w:style w:type="paragraph" w:customStyle="1" w:styleId="PageBreak">
    <w:name w:val="PageBreak"/>
    <w:aliases w:val="pb"/>
    <w:basedOn w:val="OPCParaBase"/>
    <w:rsid w:val="00190DF5"/>
    <w:pPr>
      <w:spacing w:line="240" w:lineRule="auto"/>
    </w:pPr>
    <w:rPr>
      <w:sz w:val="20"/>
    </w:rPr>
  </w:style>
  <w:style w:type="paragraph" w:customStyle="1" w:styleId="paragraphsub">
    <w:name w:val="paragraph(sub)"/>
    <w:aliases w:val="aa"/>
    <w:basedOn w:val="OPCParaBase"/>
    <w:rsid w:val="00190DF5"/>
    <w:pPr>
      <w:tabs>
        <w:tab w:val="right" w:pos="1985"/>
      </w:tabs>
      <w:spacing w:before="40" w:line="240" w:lineRule="auto"/>
      <w:ind w:left="2098" w:hanging="2098"/>
    </w:pPr>
  </w:style>
  <w:style w:type="paragraph" w:customStyle="1" w:styleId="paragraphsub-sub">
    <w:name w:val="paragraph(sub-sub)"/>
    <w:aliases w:val="aaa"/>
    <w:basedOn w:val="OPCParaBase"/>
    <w:rsid w:val="00190DF5"/>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190DF5"/>
    <w:pPr>
      <w:tabs>
        <w:tab w:val="right" w:pos="1531"/>
      </w:tabs>
      <w:spacing w:before="40" w:line="240" w:lineRule="auto"/>
      <w:ind w:left="1644" w:hanging="1644"/>
    </w:pPr>
  </w:style>
  <w:style w:type="paragraph" w:customStyle="1" w:styleId="ParlAmend">
    <w:name w:val="ParlAmend"/>
    <w:aliases w:val="pp"/>
    <w:basedOn w:val="OPCParaBase"/>
    <w:rsid w:val="00190DF5"/>
    <w:pPr>
      <w:spacing w:before="240" w:line="240" w:lineRule="atLeast"/>
      <w:ind w:hanging="567"/>
    </w:pPr>
    <w:rPr>
      <w:sz w:val="24"/>
    </w:rPr>
  </w:style>
  <w:style w:type="paragraph" w:customStyle="1" w:styleId="Penalty">
    <w:name w:val="Penalty"/>
    <w:basedOn w:val="OPCParaBase"/>
    <w:rsid w:val="00190DF5"/>
    <w:pPr>
      <w:tabs>
        <w:tab w:val="left" w:pos="2977"/>
      </w:tabs>
      <w:spacing w:before="180" w:line="240" w:lineRule="auto"/>
      <w:ind w:left="1985" w:hanging="851"/>
    </w:pPr>
  </w:style>
  <w:style w:type="paragraph" w:customStyle="1" w:styleId="Portfolio">
    <w:name w:val="Portfolio"/>
    <w:basedOn w:val="OPCParaBase"/>
    <w:rsid w:val="00190DF5"/>
    <w:pPr>
      <w:spacing w:line="240" w:lineRule="auto"/>
    </w:pPr>
    <w:rPr>
      <w:i/>
      <w:sz w:val="20"/>
    </w:rPr>
  </w:style>
  <w:style w:type="paragraph" w:customStyle="1" w:styleId="Preamble">
    <w:name w:val="Preamble"/>
    <w:basedOn w:val="OPCParaBase"/>
    <w:next w:val="Normal"/>
    <w:rsid w:val="00190DF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90DF5"/>
    <w:pPr>
      <w:spacing w:line="240" w:lineRule="auto"/>
    </w:pPr>
    <w:rPr>
      <w:i/>
      <w:sz w:val="20"/>
    </w:rPr>
  </w:style>
  <w:style w:type="paragraph" w:customStyle="1" w:styleId="Session">
    <w:name w:val="Session"/>
    <w:basedOn w:val="OPCParaBase"/>
    <w:rsid w:val="00190DF5"/>
    <w:pPr>
      <w:spacing w:line="240" w:lineRule="auto"/>
    </w:pPr>
    <w:rPr>
      <w:sz w:val="28"/>
    </w:rPr>
  </w:style>
  <w:style w:type="paragraph" w:customStyle="1" w:styleId="Sponsor">
    <w:name w:val="Sponsor"/>
    <w:basedOn w:val="OPCParaBase"/>
    <w:rsid w:val="00190DF5"/>
    <w:pPr>
      <w:spacing w:line="240" w:lineRule="auto"/>
    </w:pPr>
    <w:rPr>
      <w:i/>
    </w:rPr>
  </w:style>
  <w:style w:type="paragraph" w:customStyle="1" w:styleId="Subitem">
    <w:name w:val="Subitem"/>
    <w:aliases w:val="iss"/>
    <w:basedOn w:val="OPCParaBase"/>
    <w:rsid w:val="00190DF5"/>
    <w:pPr>
      <w:spacing w:before="180" w:line="240" w:lineRule="auto"/>
      <w:ind w:left="709" w:hanging="709"/>
    </w:pPr>
  </w:style>
  <w:style w:type="paragraph" w:customStyle="1" w:styleId="SubitemHead">
    <w:name w:val="SubitemHead"/>
    <w:aliases w:val="issh"/>
    <w:basedOn w:val="OPCParaBase"/>
    <w:rsid w:val="00190DF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90DF5"/>
    <w:pPr>
      <w:spacing w:before="40" w:line="240" w:lineRule="auto"/>
      <w:ind w:left="1134"/>
    </w:pPr>
  </w:style>
  <w:style w:type="paragraph" w:customStyle="1" w:styleId="SubsectionHead">
    <w:name w:val="SubsectionHead"/>
    <w:aliases w:val="ssh"/>
    <w:basedOn w:val="OPCParaBase"/>
    <w:next w:val="subsection"/>
    <w:rsid w:val="00190DF5"/>
    <w:pPr>
      <w:keepNext/>
      <w:keepLines/>
      <w:spacing w:before="240" w:line="240" w:lineRule="auto"/>
      <w:ind w:left="1134"/>
    </w:pPr>
    <w:rPr>
      <w:i/>
    </w:rPr>
  </w:style>
  <w:style w:type="paragraph" w:customStyle="1" w:styleId="Tablea">
    <w:name w:val="Table(a)"/>
    <w:aliases w:val="ta"/>
    <w:basedOn w:val="OPCParaBase"/>
    <w:rsid w:val="00190DF5"/>
    <w:pPr>
      <w:spacing w:before="60" w:line="240" w:lineRule="auto"/>
      <w:ind w:left="284" w:hanging="284"/>
    </w:pPr>
    <w:rPr>
      <w:sz w:val="20"/>
    </w:rPr>
  </w:style>
  <w:style w:type="paragraph" w:customStyle="1" w:styleId="TableAA">
    <w:name w:val="Table(AA)"/>
    <w:aliases w:val="taaa"/>
    <w:basedOn w:val="OPCParaBase"/>
    <w:rsid w:val="00190DF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90DF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90DF5"/>
    <w:pPr>
      <w:spacing w:before="60" w:line="240" w:lineRule="atLeast"/>
    </w:pPr>
    <w:rPr>
      <w:sz w:val="20"/>
    </w:rPr>
  </w:style>
  <w:style w:type="paragraph" w:customStyle="1" w:styleId="TLPBoxTextnote">
    <w:name w:val="TLPBoxText(note"/>
    <w:aliases w:val="right)"/>
    <w:basedOn w:val="OPCParaBase"/>
    <w:rsid w:val="00190DF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90DF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90DF5"/>
    <w:pPr>
      <w:spacing w:before="122" w:line="198" w:lineRule="exact"/>
      <w:ind w:left="1985" w:hanging="851"/>
      <w:jc w:val="right"/>
    </w:pPr>
    <w:rPr>
      <w:sz w:val="18"/>
    </w:rPr>
  </w:style>
  <w:style w:type="paragraph" w:customStyle="1" w:styleId="TLPTableBullet">
    <w:name w:val="TLPTableBullet"/>
    <w:aliases w:val="ttb"/>
    <w:basedOn w:val="OPCParaBase"/>
    <w:rsid w:val="00190DF5"/>
    <w:pPr>
      <w:spacing w:line="240" w:lineRule="exact"/>
      <w:ind w:left="284" w:hanging="284"/>
    </w:pPr>
    <w:rPr>
      <w:sz w:val="20"/>
    </w:rPr>
  </w:style>
  <w:style w:type="paragraph" w:styleId="TOC1">
    <w:name w:val="toc 1"/>
    <w:basedOn w:val="Normal"/>
    <w:next w:val="Normal"/>
    <w:uiPriority w:val="39"/>
    <w:unhideWhenUsed/>
    <w:rsid w:val="00190DF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90DF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90DF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90DF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90DF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90DF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90DF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90DF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90DF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90DF5"/>
    <w:pPr>
      <w:keepLines/>
      <w:spacing w:before="240" w:after="120" w:line="240" w:lineRule="auto"/>
      <w:ind w:left="794"/>
    </w:pPr>
    <w:rPr>
      <w:b/>
      <w:kern w:val="28"/>
      <w:sz w:val="20"/>
    </w:rPr>
  </w:style>
  <w:style w:type="paragraph" w:customStyle="1" w:styleId="TofSectsHeading">
    <w:name w:val="TofSects(Heading)"/>
    <w:basedOn w:val="OPCParaBase"/>
    <w:rsid w:val="00190DF5"/>
    <w:pPr>
      <w:spacing w:before="240" w:after="120" w:line="240" w:lineRule="auto"/>
    </w:pPr>
    <w:rPr>
      <w:b/>
      <w:sz w:val="24"/>
    </w:rPr>
  </w:style>
  <w:style w:type="paragraph" w:customStyle="1" w:styleId="TofSectsSection">
    <w:name w:val="TofSects(Section)"/>
    <w:basedOn w:val="OPCParaBase"/>
    <w:rsid w:val="00190DF5"/>
    <w:pPr>
      <w:keepLines/>
      <w:spacing w:before="40" w:line="240" w:lineRule="auto"/>
      <w:ind w:left="1588" w:hanging="794"/>
    </w:pPr>
    <w:rPr>
      <w:kern w:val="28"/>
      <w:sz w:val="18"/>
    </w:rPr>
  </w:style>
  <w:style w:type="paragraph" w:customStyle="1" w:styleId="TofSectsSubdiv">
    <w:name w:val="TofSects(Subdiv)"/>
    <w:basedOn w:val="OPCParaBase"/>
    <w:rsid w:val="00190DF5"/>
    <w:pPr>
      <w:keepLines/>
      <w:spacing w:before="80" w:line="240" w:lineRule="auto"/>
      <w:ind w:left="1588" w:hanging="794"/>
    </w:pPr>
    <w:rPr>
      <w:kern w:val="28"/>
    </w:rPr>
  </w:style>
  <w:style w:type="paragraph" w:customStyle="1" w:styleId="WRStyle">
    <w:name w:val="WR Style"/>
    <w:aliases w:val="WR"/>
    <w:basedOn w:val="OPCParaBase"/>
    <w:rsid w:val="00190DF5"/>
    <w:pPr>
      <w:spacing w:before="240" w:line="240" w:lineRule="auto"/>
      <w:ind w:left="284" w:hanging="284"/>
    </w:pPr>
    <w:rPr>
      <w:b/>
      <w:i/>
      <w:kern w:val="28"/>
      <w:sz w:val="24"/>
    </w:rPr>
  </w:style>
  <w:style w:type="paragraph" w:customStyle="1" w:styleId="notepara">
    <w:name w:val="note(para)"/>
    <w:aliases w:val="na"/>
    <w:basedOn w:val="OPCParaBase"/>
    <w:rsid w:val="00190DF5"/>
    <w:pPr>
      <w:spacing w:before="40" w:line="198" w:lineRule="exact"/>
      <w:ind w:left="2354" w:hanging="369"/>
    </w:pPr>
    <w:rPr>
      <w:sz w:val="18"/>
    </w:rPr>
  </w:style>
  <w:style w:type="paragraph" w:styleId="Footer">
    <w:name w:val="footer"/>
    <w:link w:val="FooterChar"/>
    <w:rsid w:val="00190DF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90DF5"/>
    <w:rPr>
      <w:rFonts w:eastAsia="Times New Roman" w:cs="Times New Roman"/>
      <w:sz w:val="22"/>
      <w:szCs w:val="24"/>
      <w:lang w:eastAsia="en-AU"/>
    </w:rPr>
  </w:style>
  <w:style w:type="character" w:styleId="LineNumber">
    <w:name w:val="line number"/>
    <w:basedOn w:val="OPCCharBase"/>
    <w:uiPriority w:val="99"/>
    <w:unhideWhenUsed/>
    <w:rsid w:val="00190DF5"/>
    <w:rPr>
      <w:sz w:val="16"/>
    </w:rPr>
  </w:style>
  <w:style w:type="table" w:customStyle="1" w:styleId="CFlag">
    <w:name w:val="CFlag"/>
    <w:basedOn w:val="TableNormal"/>
    <w:uiPriority w:val="99"/>
    <w:rsid w:val="00190DF5"/>
    <w:rPr>
      <w:rFonts w:eastAsia="Times New Roman" w:cs="Times New Roman"/>
      <w:lang w:eastAsia="en-AU"/>
    </w:rPr>
    <w:tblPr/>
  </w:style>
  <w:style w:type="paragraph" w:styleId="BalloonText">
    <w:name w:val="Balloon Text"/>
    <w:basedOn w:val="Normal"/>
    <w:link w:val="BalloonTextChar"/>
    <w:uiPriority w:val="99"/>
    <w:unhideWhenUsed/>
    <w:rsid w:val="00190D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90DF5"/>
    <w:rPr>
      <w:rFonts w:ascii="Tahoma" w:hAnsi="Tahoma" w:cs="Tahoma"/>
      <w:sz w:val="16"/>
      <w:szCs w:val="16"/>
    </w:rPr>
  </w:style>
  <w:style w:type="table" w:styleId="TableGrid">
    <w:name w:val="Table Grid"/>
    <w:basedOn w:val="TableNormal"/>
    <w:uiPriority w:val="59"/>
    <w:rsid w:val="00190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90DF5"/>
    <w:rPr>
      <w:b/>
      <w:sz w:val="28"/>
      <w:szCs w:val="32"/>
    </w:rPr>
  </w:style>
  <w:style w:type="paragraph" w:customStyle="1" w:styleId="LegislationMadeUnder">
    <w:name w:val="LegislationMadeUnder"/>
    <w:basedOn w:val="OPCParaBase"/>
    <w:next w:val="Normal"/>
    <w:rsid w:val="00190DF5"/>
    <w:rPr>
      <w:i/>
      <w:sz w:val="32"/>
      <w:szCs w:val="32"/>
    </w:rPr>
  </w:style>
  <w:style w:type="paragraph" w:customStyle="1" w:styleId="SignCoverPageEnd">
    <w:name w:val="SignCoverPageEnd"/>
    <w:basedOn w:val="OPCParaBase"/>
    <w:next w:val="Normal"/>
    <w:rsid w:val="00190DF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90DF5"/>
    <w:pPr>
      <w:pBdr>
        <w:top w:val="single" w:sz="4" w:space="1" w:color="auto"/>
      </w:pBdr>
      <w:spacing w:before="360"/>
      <w:ind w:right="397"/>
      <w:jc w:val="both"/>
    </w:pPr>
  </w:style>
  <w:style w:type="paragraph" w:customStyle="1" w:styleId="NotesHeading1">
    <w:name w:val="NotesHeading 1"/>
    <w:basedOn w:val="OPCParaBase"/>
    <w:next w:val="Normal"/>
    <w:rsid w:val="00190DF5"/>
    <w:rPr>
      <w:b/>
      <w:sz w:val="28"/>
      <w:szCs w:val="28"/>
    </w:rPr>
  </w:style>
  <w:style w:type="paragraph" w:customStyle="1" w:styleId="NotesHeading2">
    <w:name w:val="NotesHeading 2"/>
    <w:basedOn w:val="OPCParaBase"/>
    <w:next w:val="Normal"/>
    <w:rsid w:val="00190DF5"/>
    <w:rPr>
      <w:b/>
      <w:sz w:val="28"/>
      <w:szCs w:val="28"/>
    </w:rPr>
  </w:style>
  <w:style w:type="paragraph" w:customStyle="1" w:styleId="ENotesText">
    <w:name w:val="ENotesText"/>
    <w:aliases w:val="Ent"/>
    <w:basedOn w:val="OPCParaBase"/>
    <w:next w:val="Normal"/>
    <w:rsid w:val="00190DF5"/>
    <w:pPr>
      <w:spacing w:before="120"/>
    </w:pPr>
  </w:style>
  <w:style w:type="paragraph" w:customStyle="1" w:styleId="CompiledActNo">
    <w:name w:val="CompiledActNo"/>
    <w:basedOn w:val="OPCParaBase"/>
    <w:next w:val="Normal"/>
    <w:rsid w:val="00190DF5"/>
    <w:rPr>
      <w:b/>
      <w:sz w:val="24"/>
      <w:szCs w:val="24"/>
    </w:rPr>
  </w:style>
  <w:style w:type="paragraph" w:customStyle="1" w:styleId="CompiledMadeUnder">
    <w:name w:val="CompiledMadeUnder"/>
    <w:basedOn w:val="OPCParaBase"/>
    <w:next w:val="Normal"/>
    <w:rsid w:val="00190DF5"/>
    <w:rPr>
      <w:i/>
      <w:sz w:val="24"/>
      <w:szCs w:val="24"/>
    </w:rPr>
  </w:style>
  <w:style w:type="paragraph" w:customStyle="1" w:styleId="Paragraphsub-sub-sub">
    <w:name w:val="Paragraph(sub-sub-sub)"/>
    <w:aliases w:val="aaaa"/>
    <w:basedOn w:val="OPCParaBase"/>
    <w:rsid w:val="00190DF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90DF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90DF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90DF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90DF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90DF5"/>
    <w:pPr>
      <w:spacing w:before="60" w:line="240" w:lineRule="auto"/>
    </w:pPr>
    <w:rPr>
      <w:rFonts w:cs="Arial"/>
      <w:sz w:val="20"/>
      <w:szCs w:val="22"/>
    </w:rPr>
  </w:style>
  <w:style w:type="paragraph" w:customStyle="1" w:styleId="NoteToSubpara">
    <w:name w:val="NoteToSubpara"/>
    <w:aliases w:val="nts"/>
    <w:basedOn w:val="OPCParaBase"/>
    <w:rsid w:val="00190DF5"/>
    <w:pPr>
      <w:spacing w:before="40" w:line="198" w:lineRule="exact"/>
      <w:ind w:left="2835" w:hanging="709"/>
    </w:pPr>
    <w:rPr>
      <w:sz w:val="18"/>
    </w:rPr>
  </w:style>
  <w:style w:type="paragraph" w:customStyle="1" w:styleId="ENoteTableHeading">
    <w:name w:val="ENoteTableHeading"/>
    <w:aliases w:val="enth"/>
    <w:basedOn w:val="OPCParaBase"/>
    <w:rsid w:val="00190DF5"/>
    <w:pPr>
      <w:keepNext/>
      <w:spacing w:before="60" w:line="240" w:lineRule="atLeast"/>
    </w:pPr>
    <w:rPr>
      <w:rFonts w:ascii="Arial" w:hAnsi="Arial"/>
      <w:b/>
      <w:sz w:val="16"/>
    </w:rPr>
  </w:style>
  <w:style w:type="paragraph" w:customStyle="1" w:styleId="ENoteTTi">
    <w:name w:val="ENoteTTi"/>
    <w:aliases w:val="entti"/>
    <w:basedOn w:val="OPCParaBase"/>
    <w:rsid w:val="00190DF5"/>
    <w:pPr>
      <w:keepNext/>
      <w:spacing w:before="60" w:line="240" w:lineRule="atLeast"/>
      <w:ind w:left="170"/>
    </w:pPr>
    <w:rPr>
      <w:sz w:val="16"/>
    </w:rPr>
  </w:style>
  <w:style w:type="paragraph" w:customStyle="1" w:styleId="ENotesHeading1">
    <w:name w:val="ENotesHeading 1"/>
    <w:aliases w:val="Enh1"/>
    <w:basedOn w:val="OPCParaBase"/>
    <w:next w:val="Normal"/>
    <w:rsid w:val="00190DF5"/>
    <w:pPr>
      <w:spacing w:before="120"/>
      <w:outlineLvl w:val="0"/>
    </w:pPr>
    <w:rPr>
      <w:b/>
      <w:sz w:val="28"/>
      <w:szCs w:val="28"/>
    </w:rPr>
  </w:style>
  <w:style w:type="paragraph" w:customStyle="1" w:styleId="ENotesHeading2">
    <w:name w:val="ENotesHeading 2"/>
    <w:aliases w:val="Enh2"/>
    <w:basedOn w:val="OPCParaBase"/>
    <w:next w:val="Normal"/>
    <w:rsid w:val="00190DF5"/>
    <w:pPr>
      <w:spacing w:before="120" w:after="120"/>
      <w:outlineLvl w:val="1"/>
    </w:pPr>
    <w:rPr>
      <w:b/>
      <w:sz w:val="24"/>
      <w:szCs w:val="28"/>
    </w:rPr>
  </w:style>
  <w:style w:type="paragraph" w:customStyle="1" w:styleId="ENoteTTIndentHeading">
    <w:name w:val="ENoteTTIndentHeading"/>
    <w:aliases w:val="enTTHi"/>
    <w:basedOn w:val="OPCParaBase"/>
    <w:rsid w:val="00190DF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90DF5"/>
    <w:pPr>
      <w:spacing w:before="60" w:line="240" w:lineRule="atLeast"/>
    </w:pPr>
    <w:rPr>
      <w:sz w:val="16"/>
    </w:rPr>
  </w:style>
  <w:style w:type="paragraph" w:customStyle="1" w:styleId="MadeunderText">
    <w:name w:val="MadeunderText"/>
    <w:basedOn w:val="OPCParaBase"/>
    <w:next w:val="Normal"/>
    <w:rsid w:val="00190DF5"/>
    <w:pPr>
      <w:spacing w:before="240"/>
    </w:pPr>
    <w:rPr>
      <w:sz w:val="24"/>
      <w:szCs w:val="24"/>
    </w:rPr>
  </w:style>
  <w:style w:type="paragraph" w:customStyle="1" w:styleId="ENotesHeading3">
    <w:name w:val="ENotesHeading 3"/>
    <w:aliases w:val="Enh3"/>
    <w:basedOn w:val="OPCParaBase"/>
    <w:next w:val="Normal"/>
    <w:rsid w:val="00190DF5"/>
    <w:pPr>
      <w:keepNext/>
      <w:spacing w:before="120" w:line="240" w:lineRule="auto"/>
      <w:outlineLvl w:val="4"/>
    </w:pPr>
    <w:rPr>
      <w:b/>
      <w:szCs w:val="24"/>
    </w:rPr>
  </w:style>
  <w:style w:type="character" w:customStyle="1" w:styleId="CharSubPartTextCASA">
    <w:name w:val="CharSubPartText(CASA)"/>
    <w:basedOn w:val="OPCCharBase"/>
    <w:uiPriority w:val="1"/>
    <w:rsid w:val="00190DF5"/>
  </w:style>
  <w:style w:type="character" w:customStyle="1" w:styleId="CharSubPartNoCASA">
    <w:name w:val="CharSubPartNo(CASA)"/>
    <w:basedOn w:val="OPCCharBase"/>
    <w:uiPriority w:val="1"/>
    <w:rsid w:val="00190DF5"/>
  </w:style>
  <w:style w:type="paragraph" w:customStyle="1" w:styleId="ENoteTTIndentHeadingSub">
    <w:name w:val="ENoteTTIndentHeadingSub"/>
    <w:aliases w:val="enTTHis"/>
    <w:basedOn w:val="OPCParaBase"/>
    <w:rsid w:val="00190DF5"/>
    <w:pPr>
      <w:keepNext/>
      <w:spacing w:before="60" w:line="240" w:lineRule="atLeast"/>
      <w:ind w:left="340"/>
    </w:pPr>
    <w:rPr>
      <w:b/>
      <w:sz w:val="16"/>
    </w:rPr>
  </w:style>
  <w:style w:type="paragraph" w:customStyle="1" w:styleId="ENoteTTiSub">
    <w:name w:val="ENoteTTiSub"/>
    <w:aliases w:val="enttis"/>
    <w:basedOn w:val="OPCParaBase"/>
    <w:rsid w:val="00190DF5"/>
    <w:pPr>
      <w:keepNext/>
      <w:spacing w:before="60" w:line="240" w:lineRule="atLeast"/>
      <w:ind w:left="340"/>
    </w:pPr>
    <w:rPr>
      <w:sz w:val="16"/>
    </w:rPr>
  </w:style>
  <w:style w:type="paragraph" w:customStyle="1" w:styleId="SubDivisionMigration">
    <w:name w:val="SubDivisionMigration"/>
    <w:aliases w:val="sdm"/>
    <w:basedOn w:val="OPCParaBase"/>
    <w:rsid w:val="00190DF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90DF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90DF5"/>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0413A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413AC"/>
    <w:rPr>
      <w:sz w:val="22"/>
    </w:rPr>
  </w:style>
  <w:style w:type="paragraph" w:customStyle="1" w:styleId="SOTextNote">
    <w:name w:val="SO TextNote"/>
    <w:aliases w:val="sont"/>
    <w:basedOn w:val="SOText"/>
    <w:qFormat/>
    <w:rsid w:val="00044411"/>
    <w:pPr>
      <w:spacing w:before="122" w:line="198" w:lineRule="exact"/>
      <w:ind w:left="1843" w:hanging="709"/>
    </w:pPr>
    <w:rPr>
      <w:sz w:val="18"/>
    </w:rPr>
  </w:style>
  <w:style w:type="paragraph" w:customStyle="1" w:styleId="SOPara">
    <w:name w:val="SO Para"/>
    <w:aliases w:val="soa"/>
    <w:basedOn w:val="SOText"/>
    <w:link w:val="SOParaChar"/>
    <w:qFormat/>
    <w:rsid w:val="001C70D9"/>
    <w:pPr>
      <w:tabs>
        <w:tab w:val="right" w:pos="1786"/>
      </w:tabs>
      <w:spacing w:before="40"/>
      <w:ind w:left="2070" w:hanging="936"/>
    </w:pPr>
  </w:style>
  <w:style w:type="character" w:customStyle="1" w:styleId="SOParaChar">
    <w:name w:val="SO Para Char"/>
    <w:aliases w:val="soa Char"/>
    <w:basedOn w:val="DefaultParagraphFont"/>
    <w:link w:val="SOPara"/>
    <w:rsid w:val="001C70D9"/>
    <w:rPr>
      <w:sz w:val="22"/>
    </w:rPr>
  </w:style>
  <w:style w:type="paragraph" w:customStyle="1" w:styleId="FileName">
    <w:name w:val="FileName"/>
    <w:basedOn w:val="Normal"/>
    <w:rsid w:val="00190DF5"/>
  </w:style>
  <w:style w:type="paragraph" w:customStyle="1" w:styleId="TableHeading">
    <w:name w:val="TableHeading"/>
    <w:aliases w:val="th"/>
    <w:basedOn w:val="OPCParaBase"/>
    <w:next w:val="Tabletext"/>
    <w:rsid w:val="00190DF5"/>
    <w:pPr>
      <w:keepNext/>
      <w:spacing w:before="60" w:line="240" w:lineRule="atLeast"/>
    </w:pPr>
    <w:rPr>
      <w:b/>
      <w:sz w:val="20"/>
    </w:rPr>
  </w:style>
  <w:style w:type="paragraph" w:customStyle="1" w:styleId="SOHeadBold">
    <w:name w:val="SO HeadBold"/>
    <w:aliases w:val="sohb"/>
    <w:basedOn w:val="SOText"/>
    <w:next w:val="SOText"/>
    <w:link w:val="SOHeadBoldChar"/>
    <w:qFormat/>
    <w:rsid w:val="00D73EB7"/>
    <w:rPr>
      <w:b/>
    </w:rPr>
  </w:style>
  <w:style w:type="character" w:customStyle="1" w:styleId="SOHeadBoldChar">
    <w:name w:val="SO HeadBold Char"/>
    <w:aliases w:val="sohb Char"/>
    <w:basedOn w:val="DefaultParagraphFont"/>
    <w:link w:val="SOHeadBold"/>
    <w:rsid w:val="00D73EB7"/>
    <w:rPr>
      <w:b/>
      <w:sz w:val="22"/>
    </w:rPr>
  </w:style>
  <w:style w:type="paragraph" w:customStyle="1" w:styleId="SOHeadItalic">
    <w:name w:val="SO HeadItalic"/>
    <w:aliases w:val="sohi"/>
    <w:basedOn w:val="SOText"/>
    <w:next w:val="SOText"/>
    <w:link w:val="SOHeadItalicChar"/>
    <w:qFormat/>
    <w:rsid w:val="003173B2"/>
    <w:rPr>
      <w:i/>
    </w:rPr>
  </w:style>
  <w:style w:type="character" w:customStyle="1" w:styleId="SOHeadItalicChar">
    <w:name w:val="SO HeadItalic Char"/>
    <w:aliases w:val="sohi Char"/>
    <w:basedOn w:val="DefaultParagraphFont"/>
    <w:link w:val="SOHeadItalic"/>
    <w:rsid w:val="003173B2"/>
    <w:rPr>
      <w:i/>
      <w:sz w:val="22"/>
    </w:rPr>
  </w:style>
  <w:style w:type="paragraph" w:customStyle="1" w:styleId="SOBullet">
    <w:name w:val="SO Bullet"/>
    <w:aliases w:val="sotb"/>
    <w:basedOn w:val="SOText"/>
    <w:link w:val="SOBulletChar"/>
    <w:qFormat/>
    <w:rsid w:val="0019671A"/>
    <w:pPr>
      <w:ind w:left="1559" w:hanging="425"/>
    </w:pPr>
  </w:style>
  <w:style w:type="character" w:customStyle="1" w:styleId="SOBulletChar">
    <w:name w:val="SO Bullet Char"/>
    <w:aliases w:val="sotb Char"/>
    <w:basedOn w:val="DefaultParagraphFont"/>
    <w:link w:val="SOBullet"/>
    <w:rsid w:val="0019671A"/>
    <w:rPr>
      <w:sz w:val="22"/>
    </w:rPr>
  </w:style>
  <w:style w:type="paragraph" w:customStyle="1" w:styleId="SOBulletNote">
    <w:name w:val="SO BulletNote"/>
    <w:aliases w:val="sonb"/>
    <w:basedOn w:val="SOTextNote"/>
    <w:link w:val="SOBulletNoteChar"/>
    <w:qFormat/>
    <w:rsid w:val="00523D8D"/>
    <w:pPr>
      <w:tabs>
        <w:tab w:val="left" w:pos="1560"/>
      </w:tabs>
      <w:ind w:left="2268" w:hanging="1134"/>
    </w:pPr>
  </w:style>
  <w:style w:type="character" w:customStyle="1" w:styleId="SOBulletNoteChar">
    <w:name w:val="SO BulletNote Char"/>
    <w:aliases w:val="sonb Char"/>
    <w:basedOn w:val="DefaultParagraphFont"/>
    <w:link w:val="SOBulletNote"/>
    <w:rsid w:val="00523D8D"/>
    <w:rPr>
      <w:sz w:val="18"/>
    </w:rPr>
  </w:style>
  <w:style w:type="paragraph" w:customStyle="1" w:styleId="SOText2">
    <w:name w:val="SO Text2"/>
    <w:aliases w:val="sot2"/>
    <w:basedOn w:val="Normal"/>
    <w:next w:val="SOText"/>
    <w:link w:val="SOText2Char"/>
    <w:rsid w:val="00DC4E8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C4E8C"/>
    <w:rPr>
      <w:sz w:val="22"/>
    </w:rPr>
  </w:style>
  <w:style w:type="paragraph" w:customStyle="1" w:styleId="SubPartCASA">
    <w:name w:val="SubPart(CASA)"/>
    <w:aliases w:val="csp"/>
    <w:basedOn w:val="OPCParaBase"/>
    <w:next w:val="ActHead3"/>
    <w:rsid w:val="00190DF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90DF5"/>
    <w:rPr>
      <w:rFonts w:eastAsia="Times New Roman" w:cs="Times New Roman"/>
      <w:sz w:val="22"/>
      <w:lang w:eastAsia="en-AU"/>
    </w:rPr>
  </w:style>
  <w:style w:type="character" w:customStyle="1" w:styleId="notetextChar">
    <w:name w:val="note(text) Char"/>
    <w:aliases w:val="n Char"/>
    <w:basedOn w:val="DefaultParagraphFont"/>
    <w:link w:val="notetext"/>
    <w:rsid w:val="00190DF5"/>
    <w:rPr>
      <w:rFonts w:eastAsia="Times New Roman" w:cs="Times New Roman"/>
      <w:sz w:val="18"/>
      <w:lang w:eastAsia="en-AU"/>
    </w:rPr>
  </w:style>
  <w:style w:type="character" w:customStyle="1" w:styleId="Heading1Char">
    <w:name w:val="Heading 1 Char"/>
    <w:basedOn w:val="DefaultParagraphFont"/>
    <w:link w:val="Heading1"/>
    <w:uiPriority w:val="9"/>
    <w:rsid w:val="00190D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0D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0DF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90DF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90DF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90DF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90DF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90D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90DF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190DF5"/>
  </w:style>
  <w:style w:type="character" w:customStyle="1" w:styleId="charlegsubtitle1">
    <w:name w:val="charlegsubtitle1"/>
    <w:basedOn w:val="DefaultParagraphFont"/>
    <w:rsid w:val="00190DF5"/>
    <w:rPr>
      <w:rFonts w:ascii="Arial" w:hAnsi="Arial" w:cs="Arial" w:hint="default"/>
      <w:b/>
      <w:bCs/>
      <w:sz w:val="28"/>
      <w:szCs w:val="28"/>
    </w:rPr>
  </w:style>
  <w:style w:type="paragraph" w:styleId="Index1">
    <w:name w:val="index 1"/>
    <w:basedOn w:val="Normal"/>
    <w:next w:val="Normal"/>
    <w:autoRedefine/>
    <w:rsid w:val="00190DF5"/>
    <w:pPr>
      <w:ind w:left="240" w:hanging="240"/>
    </w:pPr>
  </w:style>
  <w:style w:type="paragraph" w:styleId="Index2">
    <w:name w:val="index 2"/>
    <w:basedOn w:val="Normal"/>
    <w:next w:val="Normal"/>
    <w:autoRedefine/>
    <w:rsid w:val="00190DF5"/>
    <w:pPr>
      <w:ind w:left="480" w:hanging="240"/>
    </w:pPr>
  </w:style>
  <w:style w:type="paragraph" w:styleId="Index3">
    <w:name w:val="index 3"/>
    <w:basedOn w:val="Normal"/>
    <w:next w:val="Normal"/>
    <w:autoRedefine/>
    <w:rsid w:val="00190DF5"/>
    <w:pPr>
      <w:ind w:left="720" w:hanging="240"/>
    </w:pPr>
  </w:style>
  <w:style w:type="paragraph" w:styleId="Index4">
    <w:name w:val="index 4"/>
    <w:basedOn w:val="Normal"/>
    <w:next w:val="Normal"/>
    <w:autoRedefine/>
    <w:rsid w:val="00190DF5"/>
    <w:pPr>
      <w:ind w:left="960" w:hanging="240"/>
    </w:pPr>
  </w:style>
  <w:style w:type="paragraph" w:styleId="Index5">
    <w:name w:val="index 5"/>
    <w:basedOn w:val="Normal"/>
    <w:next w:val="Normal"/>
    <w:autoRedefine/>
    <w:rsid w:val="00190DF5"/>
    <w:pPr>
      <w:ind w:left="1200" w:hanging="240"/>
    </w:pPr>
  </w:style>
  <w:style w:type="paragraph" w:styleId="Index6">
    <w:name w:val="index 6"/>
    <w:basedOn w:val="Normal"/>
    <w:next w:val="Normal"/>
    <w:autoRedefine/>
    <w:rsid w:val="00190DF5"/>
    <w:pPr>
      <w:ind w:left="1440" w:hanging="240"/>
    </w:pPr>
  </w:style>
  <w:style w:type="paragraph" w:styleId="Index7">
    <w:name w:val="index 7"/>
    <w:basedOn w:val="Normal"/>
    <w:next w:val="Normal"/>
    <w:autoRedefine/>
    <w:rsid w:val="00190DF5"/>
    <w:pPr>
      <w:ind w:left="1680" w:hanging="240"/>
    </w:pPr>
  </w:style>
  <w:style w:type="paragraph" w:styleId="Index8">
    <w:name w:val="index 8"/>
    <w:basedOn w:val="Normal"/>
    <w:next w:val="Normal"/>
    <w:autoRedefine/>
    <w:rsid w:val="00190DF5"/>
    <w:pPr>
      <w:ind w:left="1920" w:hanging="240"/>
    </w:pPr>
  </w:style>
  <w:style w:type="paragraph" w:styleId="Index9">
    <w:name w:val="index 9"/>
    <w:basedOn w:val="Normal"/>
    <w:next w:val="Normal"/>
    <w:autoRedefine/>
    <w:rsid w:val="00190DF5"/>
    <w:pPr>
      <w:ind w:left="2160" w:hanging="240"/>
    </w:pPr>
  </w:style>
  <w:style w:type="paragraph" w:styleId="NormalIndent">
    <w:name w:val="Normal Indent"/>
    <w:basedOn w:val="Normal"/>
    <w:rsid w:val="00190DF5"/>
    <w:pPr>
      <w:ind w:left="720"/>
    </w:pPr>
  </w:style>
  <w:style w:type="paragraph" w:styleId="FootnoteText">
    <w:name w:val="footnote text"/>
    <w:basedOn w:val="Normal"/>
    <w:link w:val="FootnoteTextChar"/>
    <w:rsid w:val="00190DF5"/>
    <w:rPr>
      <w:sz w:val="20"/>
    </w:rPr>
  </w:style>
  <w:style w:type="character" w:customStyle="1" w:styleId="FootnoteTextChar">
    <w:name w:val="Footnote Text Char"/>
    <w:basedOn w:val="DefaultParagraphFont"/>
    <w:link w:val="FootnoteText"/>
    <w:rsid w:val="00190DF5"/>
  </w:style>
  <w:style w:type="paragraph" w:styleId="CommentText">
    <w:name w:val="annotation text"/>
    <w:basedOn w:val="Normal"/>
    <w:link w:val="CommentTextChar"/>
    <w:rsid w:val="00190DF5"/>
    <w:rPr>
      <w:sz w:val="20"/>
    </w:rPr>
  </w:style>
  <w:style w:type="character" w:customStyle="1" w:styleId="CommentTextChar">
    <w:name w:val="Comment Text Char"/>
    <w:basedOn w:val="DefaultParagraphFont"/>
    <w:link w:val="CommentText"/>
    <w:rsid w:val="00190DF5"/>
  </w:style>
  <w:style w:type="paragraph" w:styleId="IndexHeading">
    <w:name w:val="index heading"/>
    <w:basedOn w:val="Normal"/>
    <w:next w:val="Index1"/>
    <w:rsid w:val="00190DF5"/>
    <w:rPr>
      <w:rFonts w:ascii="Arial" w:hAnsi="Arial" w:cs="Arial"/>
      <w:b/>
      <w:bCs/>
    </w:rPr>
  </w:style>
  <w:style w:type="paragraph" w:styleId="Caption">
    <w:name w:val="caption"/>
    <w:basedOn w:val="Normal"/>
    <w:next w:val="Normal"/>
    <w:qFormat/>
    <w:rsid w:val="00190DF5"/>
    <w:pPr>
      <w:spacing w:before="120" w:after="120"/>
    </w:pPr>
    <w:rPr>
      <w:b/>
      <w:bCs/>
      <w:sz w:val="20"/>
    </w:rPr>
  </w:style>
  <w:style w:type="paragraph" w:styleId="TableofFigures">
    <w:name w:val="table of figures"/>
    <w:basedOn w:val="Normal"/>
    <w:next w:val="Normal"/>
    <w:rsid w:val="00190DF5"/>
    <w:pPr>
      <w:ind w:left="480" w:hanging="480"/>
    </w:pPr>
  </w:style>
  <w:style w:type="paragraph" w:styleId="EnvelopeAddress">
    <w:name w:val="envelope address"/>
    <w:basedOn w:val="Normal"/>
    <w:rsid w:val="00190DF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90DF5"/>
    <w:rPr>
      <w:rFonts w:ascii="Arial" w:hAnsi="Arial" w:cs="Arial"/>
      <w:sz w:val="20"/>
    </w:rPr>
  </w:style>
  <w:style w:type="character" w:styleId="FootnoteReference">
    <w:name w:val="footnote reference"/>
    <w:basedOn w:val="DefaultParagraphFont"/>
    <w:rsid w:val="00190DF5"/>
    <w:rPr>
      <w:rFonts w:ascii="Times New Roman" w:hAnsi="Times New Roman"/>
      <w:sz w:val="20"/>
      <w:vertAlign w:val="superscript"/>
    </w:rPr>
  </w:style>
  <w:style w:type="character" w:styleId="CommentReference">
    <w:name w:val="annotation reference"/>
    <w:basedOn w:val="DefaultParagraphFont"/>
    <w:rsid w:val="00190DF5"/>
    <w:rPr>
      <w:sz w:val="16"/>
      <w:szCs w:val="16"/>
    </w:rPr>
  </w:style>
  <w:style w:type="character" w:styleId="PageNumber">
    <w:name w:val="page number"/>
    <w:basedOn w:val="DefaultParagraphFont"/>
    <w:rsid w:val="00190DF5"/>
  </w:style>
  <w:style w:type="character" w:styleId="EndnoteReference">
    <w:name w:val="endnote reference"/>
    <w:basedOn w:val="DefaultParagraphFont"/>
    <w:rsid w:val="00190DF5"/>
    <w:rPr>
      <w:vertAlign w:val="superscript"/>
    </w:rPr>
  </w:style>
  <w:style w:type="paragraph" w:styleId="EndnoteText">
    <w:name w:val="endnote text"/>
    <w:basedOn w:val="Normal"/>
    <w:link w:val="EndnoteTextChar"/>
    <w:rsid w:val="00190DF5"/>
    <w:rPr>
      <w:sz w:val="20"/>
    </w:rPr>
  </w:style>
  <w:style w:type="character" w:customStyle="1" w:styleId="EndnoteTextChar">
    <w:name w:val="Endnote Text Char"/>
    <w:basedOn w:val="DefaultParagraphFont"/>
    <w:link w:val="EndnoteText"/>
    <w:rsid w:val="00190DF5"/>
  </w:style>
  <w:style w:type="paragraph" w:styleId="TableofAuthorities">
    <w:name w:val="table of authorities"/>
    <w:basedOn w:val="Normal"/>
    <w:next w:val="Normal"/>
    <w:rsid w:val="00190DF5"/>
    <w:pPr>
      <w:ind w:left="240" w:hanging="240"/>
    </w:pPr>
  </w:style>
  <w:style w:type="paragraph" w:styleId="MacroText">
    <w:name w:val="macro"/>
    <w:link w:val="MacroTextChar"/>
    <w:rsid w:val="00190DF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90DF5"/>
    <w:rPr>
      <w:rFonts w:ascii="Courier New" w:eastAsia="Times New Roman" w:hAnsi="Courier New" w:cs="Courier New"/>
      <w:lang w:eastAsia="en-AU"/>
    </w:rPr>
  </w:style>
  <w:style w:type="paragraph" w:styleId="TOAHeading">
    <w:name w:val="toa heading"/>
    <w:basedOn w:val="Normal"/>
    <w:next w:val="Normal"/>
    <w:rsid w:val="00190DF5"/>
    <w:pPr>
      <w:spacing w:before="120"/>
    </w:pPr>
    <w:rPr>
      <w:rFonts w:ascii="Arial" w:hAnsi="Arial" w:cs="Arial"/>
      <w:b/>
      <w:bCs/>
    </w:rPr>
  </w:style>
  <w:style w:type="paragraph" w:styleId="List">
    <w:name w:val="List"/>
    <w:basedOn w:val="Normal"/>
    <w:rsid w:val="00190DF5"/>
    <w:pPr>
      <w:ind w:left="283" w:hanging="283"/>
    </w:pPr>
  </w:style>
  <w:style w:type="paragraph" w:styleId="ListBullet">
    <w:name w:val="List Bullet"/>
    <w:basedOn w:val="Normal"/>
    <w:autoRedefine/>
    <w:rsid w:val="00190DF5"/>
    <w:pPr>
      <w:tabs>
        <w:tab w:val="num" w:pos="360"/>
      </w:tabs>
      <w:ind w:left="360" w:hanging="360"/>
    </w:pPr>
  </w:style>
  <w:style w:type="paragraph" w:styleId="ListNumber">
    <w:name w:val="List Number"/>
    <w:basedOn w:val="Normal"/>
    <w:rsid w:val="00190DF5"/>
    <w:pPr>
      <w:tabs>
        <w:tab w:val="num" w:pos="360"/>
      </w:tabs>
      <w:ind w:left="360" w:hanging="360"/>
    </w:pPr>
  </w:style>
  <w:style w:type="paragraph" w:styleId="List2">
    <w:name w:val="List 2"/>
    <w:basedOn w:val="Normal"/>
    <w:rsid w:val="00190DF5"/>
    <w:pPr>
      <w:ind w:left="566" w:hanging="283"/>
    </w:pPr>
  </w:style>
  <w:style w:type="paragraph" w:styleId="List3">
    <w:name w:val="List 3"/>
    <w:basedOn w:val="Normal"/>
    <w:rsid w:val="00190DF5"/>
    <w:pPr>
      <w:ind w:left="849" w:hanging="283"/>
    </w:pPr>
  </w:style>
  <w:style w:type="paragraph" w:styleId="List4">
    <w:name w:val="List 4"/>
    <w:basedOn w:val="Normal"/>
    <w:rsid w:val="00190DF5"/>
    <w:pPr>
      <w:ind w:left="1132" w:hanging="283"/>
    </w:pPr>
  </w:style>
  <w:style w:type="paragraph" w:styleId="List5">
    <w:name w:val="List 5"/>
    <w:basedOn w:val="Normal"/>
    <w:rsid w:val="00190DF5"/>
    <w:pPr>
      <w:ind w:left="1415" w:hanging="283"/>
    </w:pPr>
  </w:style>
  <w:style w:type="paragraph" w:styleId="ListBullet2">
    <w:name w:val="List Bullet 2"/>
    <w:basedOn w:val="Normal"/>
    <w:autoRedefine/>
    <w:rsid w:val="00190DF5"/>
    <w:pPr>
      <w:tabs>
        <w:tab w:val="num" w:pos="360"/>
      </w:tabs>
    </w:pPr>
  </w:style>
  <w:style w:type="paragraph" w:styleId="ListBullet3">
    <w:name w:val="List Bullet 3"/>
    <w:basedOn w:val="Normal"/>
    <w:autoRedefine/>
    <w:rsid w:val="00190DF5"/>
    <w:pPr>
      <w:tabs>
        <w:tab w:val="num" w:pos="926"/>
      </w:tabs>
      <w:ind w:left="926" w:hanging="360"/>
    </w:pPr>
  </w:style>
  <w:style w:type="paragraph" w:styleId="ListBullet4">
    <w:name w:val="List Bullet 4"/>
    <w:basedOn w:val="Normal"/>
    <w:autoRedefine/>
    <w:rsid w:val="00190DF5"/>
    <w:pPr>
      <w:tabs>
        <w:tab w:val="num" w:pos="1209"/>
      </w:tabs>
      <w:ind w:left="1209" w:hanging="360"/>
    </w:pPr>
  </w:style>
  <w:style w:type="paragraph" w:styleId="ListBullet5">
    <w:name w:val="List Bullet 5"/>
    <w:basedOn w:val="Normal"/>
    <w:autoRedefine/>
    <w:rsid w:val="00190DF5"/>
    <w:pPr>
      <w:tabs>
        <w:tab w:val="num" w:pos="1492"/>
      </w:tabs>
      <w:ind w:left="1492" w:hanging="360"/>
    </w:pPr>
  </w:style>
  <w:style w:type="paragraph" w:styleId="ListNumber2">
    <w:name w:val="List Number 2"/>
    <w:basedOn w:val="Normal"/>
    <w:rsid w:val="00190DF5"/>
    <w:pPr>
      <w:tabs>
        <w:tab w:val="num" w:pos="643"/>
      </w:tabs>
      <w:ind w:left="643" w:hanging="360"/>
    </w:pPr>
  </w:style>
  <w:style w:type="paragraph" w:styleId="ListNumber3">
    <w:name w:val="List Number 3"/>
    <w:basedOn w:val="Normal"/>
    <w:rsid w:val="00190DF5"/>
    <w:pPr>
      <w:tabs>
        <w:tab w:val="num" w:pos="926"/>
      </w:tabs>
      <w:ind w:left="926" w:hanging="360"/>
    </w:pPr>
  </w:style>
  <w:style w:type="paragraph" w:styleId="ListNumber4">
    <w:name w:val="List Number 4"/>
    <w:basedOn w:val="Normal"/>
    <w:rsid w:val="00190DF5"/>
    <w:pPr>
      <w:tabs>
        <w:tab w:val="num" w:pos="1209"/>
      </w:tabs>
      <w:ind w:left="1209" w:hanging="360"/>
    </w:pPr>
  </w:style>
  <w:style w:type="paragraph" w:styleId="ListNumber5">
    <w:name w:val="List Number 5"/>
    <w:basedOn w:val="Normal"/>
    <w:rsid w:val="00190DF5"/>
    <w:pPr>
      <w:tabs>
        <w:tab w:val="num" w:pos="1492"/>
      </w:tabs>
      <w:ind w:left="1492" w:hanging="360"/>
    </w:pPr>
  </w:style>
  <w:style w:type="paragraph" w:styleId="Title">
    <w:name w:val="Title"/>
    <w:basedOn w:val="Normal"/>
    <w:link w:val="TitleChar"/>
    <w:qFormat/>
    <w:rsid w:val="00190DF5"/>
    <w:pPr>
      <w:spacing w:before="240" w:after="60"/>
    </w:pPr>
    <w:rPr>
      <w:rFonts w:ascii="Arial" w:hAnsi="Arial" w:cs="Arial"/>
      <w:b/>
      <w:bCs/>
      <w:sz w:val="40"/>
      <w:szCs w:val="40"/>
    </w:rPr>
  </w:style>
  <w:style w:type="character" w:customStyle="1" w:styleId="TitleChar">
    <w:name w:val="Title Char"/>
    <w:basedOn w:val="DefaultParagraphFont"/>
    <w:link w:val="Title"/>
    <w:rsid w:val="00190DF5"/>
    <w:rPr>
      <w:rFonts w:ascii="Arial" w:hAnsi="Arial" w:cs="Arial"/>
      <w:b/>
      <w:bCs/>
      <w:sz w:val="40"/>
      <w:szCs w:val="40"/>
    </w:rPr>
  </w:style>
  <w:style w:type="paragraph" w:styleId="Closing">
    <w:name w:val="Closing"/>
    <w:basedOn w:val="Normal"/>
    <w:link w:val="ClosingChar"/>
    <w:rsid w:val="00190DF5"/>
    <w:pPr>
      <w:ind w:left="4252"/>
    </w:pPr>
  </w:style>
  <w:style w:type="character" w:customStyle="1" w:styleId="ClosingChar">
    <w:name w:val="Closing Char"/>
    <w:basedOn w:val="DefaultParagraphFont"/>
    <w:link w:val="Closing"/>
    <w:rsid w:val="00190DF5"/>
    <w:rPr>
      <w:sz w:val="22"/>
    </w:rPr>
  </w:style>
  <w:style w:type="paragraph" w:styleId="Signature">
    <w:name w:val="Signature"/>
    <w:basedOn w:val="Normal"/>
    <w:link w:val="SignatureChar"/>
    <w:rsid w:val="00190DF5"/>
    <w:pPr>
      <w:ind w:left="4252"/>
    </w:pPr>
  </w:style>
  <w:style w:type="character" w:customStyle="1" w:styleId="SignatureChar">
    <w:name w:val="Signature Char"/>
    <w:basedOn w:val="DefaultParagraphFont"/>
    <w:link w:val="Signature"/>
    <w:rsid w:val="00190DF5"/>
    <w:rPr>
      <w:sz w:val="22"/>
    </w:rPr>
  </w:style>
  <w:style w:type="paragraph" w:styleId="BodyText">
    <w:name w:val="Body Text"/>
    <w:basedOn w:val="Normal"/>
    <w:link w:val="BodyTextChar"/>
    <w:rsid w:val="00190DF5"/>
    <w:pPr>
      <w:spacing w:after="120"/>
    </w:pPr>
  </w:style>
  <w:style w:type="character" w:customStyle="1" w:styleId="BodyTextChar">
    <w:name w:val="Body Text Char"/>
    <w:basedOn w:val="DefaultParagraphFont"/>
    <w:link w:val="BodyText"/>
    <w:rsid w:val="00190DF5"/>
    <w:rPr>
      <w:sz w:val="22"/>
    </w:rPr>
  </w:style>
  <w:style w:type="paragraph" w:styleId="BodyTextIndent">
    <w:name w:val="Body Text Indent"/>
    <w:basedOn w:val="Normal"/>
    <w:link w:val="BodyTextIndentChar"/>
    <w:rsid w:val="00190DF5"/>
    <w:pPr>
      <w:spacing w:after="120"/>
      <w:ind w:left="283"/>
    </w:pPr>
  </w:style>
  <w:style w:type="character" w:customStyle="1" w:styleId="BodyTextIndentChar">
    <w:name w:val="Body Text Indent Char"/>
    <w:basedOn w:val="DefaultParagraphFont"/>
    <w:link w:val="BodyTextIndent"/>
    <w:rsid w:val="00190DF5"/>
    <w:rPr>
      <w:sz w:val="22"/>
    </w:rPr>
  </w:style>
  <w:style w:type="paragraph" w:styleId="ListContinue">
    <w:name w:val="List Continue"/>
    <w:basedOn w:val="Normal"/>
    <w:rsid w:val="00190DF5"/>
    <w:pPr>
      <w:spacing w:after="120"/>
      <w:ind w:left="283"/>
    </w:pPr>
  </w:style>
  <w:style w:type="paragraph" w:styleId="ListContinue2">
    <w:name w:val="List Continue 2"/>
    <w:basedOn w:val="Normal"/>
    <w:rsid w:val="00190DF5"/>
    <w:pPr>
      <w:spacing w:after="120"/>
      <w:ind w:left="566"/>
    </w:pPr>
  </w:style>
  <w:style w:type="paragraph" w:styleId="ListContinue3">
    <w:name w:val="List Continue 3"/>
    <w:basedOn w:val="Normal"/>
    <w:rsid w:val="00190DF5"/>
    <w:pPr>
      <w:spacing w:after="120"/>
      <w:ind w:left="849"/>
    </w:pPr>
  </w:style>
  <w:style w:type="paragraph" w:styleId="ListContinue4">
    <w:name w:val="List Continue 4"/>
    <w:basedOn w:val="Normal"/>
    <w:rsid w:val="00190DF5"/>
    <w:pPr>
      <w:spacing w:after="120"/>
      <w:ind w:left="1132"/>
    </w:pPr>
  </w:style>
  <w:style w:type="paragraph" w:styleId="ListContinue5">
    <w:name w:val="List Continue 5"/>
    <w:basedOn w:val="Normal"/>
    <w:rsid w:val="00190DF5"/>
    <w:pPr>
      <w:spacing w:after="120"/>
      <w:ind w:left="1415"/>
    </w:pPr>
  </w:style>
  <w:style w:type="paragraph" w:styleId="MessageHeader">
    <w:name w:val="Message Header"/>
    <w:basedOn w:val="Normal"/>
    <w:link w:val="MessageHeaderChar"/>
    <w:rsid w:val="00190D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90DF5"/>
    <w:rPr>
      <w:rFonts w:ascii="Arial" w:hAnsi="Arial" w:cs="Arial"/>
      <w:sz w:val="22"/>
      <w:shd w:val="pct20" w:color="auto" w:fill="auto"/>
    </w:rPr>
  </w:style>
  <w:style w:type="paragraph" w:styleId="Subtitle">
    <w:name w:val="Subtitle"/>
    <w:basedOn w:val="Normal"/>
    <w:link w:val="SubtitleChar"/>
    <w:qFormat/>
    <w:rsid w:val="00190DF5"/>
    <w:pPr>
      <w:spacing w:after="60"/>
      <w:jc w:val="center"/>
      <w:outlineLvl w:val="1"/>
    </w:pPr>
    <w:rPr>
      <w:rFonts w:ascii="Arial" w:hAnsi="Arial" w:cs="Arial"/>
    </w:rPr>
  </w:style>
  <w:style w:type="character" w:customStyle="1" w:styleId="SubtitleChar">
    <w:name w:val="Subtitle Char"/>
    <w:basedOn w:val="DefaultParagraphFont"/>
    <w:link w:val="Subtitle"/>
    <w:rsid w:val="00190DF5"/>
    <w:rPr>
      <w:rFonts w:ascii="Arial" w:hAnsi="Arial" w:cs="Arial"/>
      <w:sz w:val="22"/>
    </w:rPr>
  </w:style>
  <w:style w:type="paragraph" w:styleId="Salutation">
    <w:name w:val="Salutation"/>
    <w:basedOn w:val="Normal"/>
    <w:next w:val="Normal"/>
    <w:link w:val="SalutationChar"/>
    <w:rsid w:val="00190DF5"/>
  </w:style>
  <w:style w:type="character" w:customStyle="1" w:styleId="SalutationChar">
    <w:name w:val="Salutation Char"/>
    <w:basedOn w:val="DefaultParagraphFont"/>
    <w:link w:val="Salutation"/>
    <w:rsid w:val="00190DF5"/>
    <w:rPr>
      <w:sz w:val="22"/>
    </w:rPr>
  </w:style>
  <w:style w:type="paragraph" w:styleId="Date">
    <w:name w:val="Date"/>
    <w:basedOn w:val="Normal"/>
    <w:next w:val="Normal"/>
    <w:link w:val="DateChar"/>
    <w:rsid w:val="00190DF5"/>
  </w:style>
  <w:style w:type="character" w:customStyle="1" w:styleId="DateChar">
    <w:name w:val="Date Char"/>
    <w:basedOn w:val="DefaultParagraphFont"/>
    <w:link w:val="Date"/>
    <w:rsid w:val="00190DF5"/>
    <w:rPr>
      <w:sz w:val="22"/>
    </w:rPr>
  </w:style>
  <w:style w:type="paragraph" w:styleId="BodyTextFirstIndent">
    <w:name w:val="Body Text First Indent"/>
    <w:basedOn w:val="BodyText"/>
    <w:link w:val="BodyTextFirstIndentChar"/>
    <w:rsid w:val="00190DF5"/>
    <w:pPr>
      <w:ind w:firstLine="210"/>
    </w:pPr>
  </w:style>
  <w:style w:type="character" w:customStyle="1" w:styleId="BodyTextFirstIndentChar">
    <w:name w:val="Body Text First Indent Char"/>
    <w:basedOn w:val="BodyTextChar"/>
    <w:link w:val="BodyTextFirstIndent"/>
    <w:rsid w:val="00190DF5"/>
    <w:rPr>
      <w:sz w:val="22"/>
    </w:rPr>
  </w:style>
  <w:style w:type="paragraph" w:styleId="BodyTextFirstIndent2">
    <w:name w:val="Body Text First Indent 2"/>
    <w:basedOn w:val="BodyTextIndent"/>
    <w:link w:val="BodyTextFirstIndent2Char"/>
    <w:rsid w:val="00190DF5"/>
    <w:pPr>
      <w:ind w:firstLine="210"/>
    </w:pPr>
  </w:style>
  <w:style w:type="character" w:customStyle="1" w:styleId="BodyTextFirstIndent2Char">
    <w:name w:val="Body Text First Indent 2 Char"/>
    <w:basedOn w:val="BodyTextIndentChar"/>
    <w:link w:val="BodyTextFirstIndent2"/>
    <w:rsid w:val="00190DF5"/>
    <w:rPr>
      <w:sz w:val="22"/>
    </w:rPr>
  </w:style>
  <w:style w:type="paragraph" w:styleId="BodyText2">
    <w:name w:val="Body Text 2"/>
    <w:basedOn w:val="Normal"/>
    <w:link w:val="BodyText2Char"/>
    <w:rsid w:val="00190DF5"/>
    <w:pPr>
      <w:spacing w:after="120" w:line="480" w:lineRule="auto"/>
    </w:pPr>
  </w:style>
  <w:style w:type="character" w:customStyle="1" w:styleId="BodyText2Char">
    <w:name w:val="Body Text 2 Char"/>
    <w:basedOn w:val="DefaultParagraphFont"/>
    <w:link w:val="BodyText2"/>
    <w:rsid w:val="00190DF5"/>
    <w:rPr>
      <w:sz w:val="22"/>
    </w:rPr>
  </w:style>
  <w:style w:type="paragraph" w:styleId="BodyText3">
    <w:name w:val="Body Text 3"/>
    <w:basedOn w:val="Normal"/>
    <w:link w:val="BodyText3Char"/>
    <w:rsid w:val="00190DF5"/>
    <w:pPr>
      <w:spacing w:after="120"/>
    </w:pPr>
    <w:rPr>
      <w:sz w:val="16"/>
      <w:szCs w:val="16"/>
    </w:rPr>
  </w:style>
  <w:style w:type="character" w:customStyle="1" w:styleId="BodyText3Char">
    <w:name w:val="Body Text 3 Char"/>
    <w:basedOn w:val="DefaultParagraphFont"/>
    <w:link w:val="BodyText3"/>
    <w:rsid w:val="00190DF5"/>
    <w:rPr>
      <w:sz w:val="16"/>
      <w:szCs w:val="16"/>
    </w:rPr>
  </w:style>
  <w:style w:type="paragraph" w:styleId="BodyTextIndent2">
    <w:name w:val="Body Text Indent 2"/>
    <w:basedOn w:val="Normal"/>
    <w:link w:val="BodyTextIndent2Char"/>
    <w:rsid w:val="00190DF5"/>
    <w:pPr>
      <w:spacing w:after="120" w:line="480" w:lineRule="auto"/>
      <w:ind w:left="283"/>
    </w:pPr>
  </w:style>
  <w:style w:type="character" w:customStyle="1" w:styleId="BodyTextIndent2Char">
    <w:name w:val="Body Text Indent 2 Char"/>
    <w:basedOn w:val="DefaultParagraphFont"/>
    <w:link w:val="BodyTextIndent2"/>
    <w:rsid w:val="00190DF5"/>
    <w:rPr>
      <w:sz w:val="22"/>
    </w:rPr>
  </w:style>
  <w:style w:type="paragraph" w:styleId="BodyTextIndent3">
    <w:name w:val="Body Text Indent 3"/>
    <w:basedOn w:val="Normal"/>
    <w:link w:val="BodyTextIndent3Char"/>
    <w:rsid w:val="00190DF5"/>
    <w:pPr>
      <w:spacing w:after="120"/>
      <w:ind w:left="283"/>
    </w:pPr>
    <w:rPr>
      <w:sz w:val="16"/>
      <w:szCs w:val="16"/>
    </w:rPr>
  </w:style>
  <w:style w:type="character" w:customStyle="1" w:styleId="BodyTextIndent3Char">
    <w:name w:val="Body Text Indent 3 Char"/>
    <w:basedOn w:val="DefaultParagraphFont"/>
    <w:link w:val="BodyTextIndent3"/>
    <w:rsid w:val="00190DF5"/>
    <w:rPr>
      <w:sz w:val="16"/>
      <w:szCs w:val="16"/>
    </w:rPr>
  </w:style>
  <w:style w:type="paragraph" w:styleId="BlockText">
    <w:name w:val="Block Text"/>
    <w:basedOn w:val="Normal"/>
    <w:rsid w:val="00190DF5"/>
    <w:pPr>
      <w:spacing w:after="120"/>
      <w:ind w:left="1440" w:right="1440"/>
    </w:pPr>
  </w:style>
  <w:style w:type="character" w:styleId="Hyperlink">
    <w:name w:val="Hyperlink"/>
    <w:basedOn w:val="DefaultParagraphFont"/>
    <w:rsid w:val="00190DF5"/>
    <w:rPr>
      <w:color w:val="0000FF"/>
      <w:u w:val="single"/>
    </w:rPr>
  </w:style>
  <w:style w:type="character" w:styleId="FollowedHyperlink">
    <w:name w:val="FollowedHyperlink"/>
    <w:basedOn w:val="DefaultParagraphFont"/>
    <w:rsid w:val="00190DF5"/>
    <w:rPr>
      <w:color w:val="800080"/>
      <w:u w:val="single"/>
    </w:rPr>
  </w:style>
  <w:style w:type="character" w:styleId="Strong">
    <w:name w:val="Strong"/>
    <w:basedOn w:val="DefaultParagraphFont"/>
    <w:qFormat/>
    <w:rsid w:val="00190DF5"/>
    <w:rPr>
      <w:b/>
      <w:bCs/>
    </w:rPr>
  </w:style>
  <w:style w:type="character" w:styleId="Emphasis">
    <w:name w:val="Emphasis"/>
    <w:basedOn w:val="DefaultParagraphFont"/>
    <w:qFormat/>
    <w:rsid w:val="00190DF5"/>
    <w:rPr>
      <w:i/>
      <w:iCs/>
    </w:rPr>
  </w:style>
  <w:style w:type="paragraph" w:styleId="DocumentMap">
    <w:name w:val="Document Map"/>
    <w:basedOn w:val="Normal"/>
    <w:link w:val="DocumentMapChar"/>
    <w:rsid w:val="00190DF5"/>
    <w:pPr>
      <w:shd w:val="clear" w:color="auto" w:fill="000080"/>
    </w:pPr>
    <w:rPr>
      <w:rFonts w:ascii="Tahoma" w:hAnsi="Tahoma" w:cs="Tahoma"/>
    </w:rPr>
  </w:style>
  <w:style w:type="character" w:customStyle="1" w:styleId="DocumentMapChar">
    <w:name w:val="Document Map Char"/>
    <w:basedOn w:val="DefaultParagraphFont"/>
    <w:link w:val="DocumentMap"/>
    <w:rsid w:val="00190DF5"/>
    <w:rPr>
      <w:rFonts w:ascii="Tahoma" w:hAnsi="Tahoma" w:cs="Tahoma"/>
      <w:sz w:val="22"/>
      <w:shd w:val="clear" w:color="auto" w:fill="000080"/>
    </w:rPr>
  </w:style>
  <w:style w:type="paragraph" w:styleId="PlainText">
    <w:name w:val="Plain Text"/>
    <w:basedOn w:val="Normal"/>
    <w:link w:val="PlainTextChar"/>
    <w:rsid w:val="00190DF5"/>
    <w:rPr>
      <w:rFonts w:ascii="Courier New" w:hAnsi="Courier New" w:cs="Courier New"/>
      <w:sz w:val="20"/>
    </w:rPr>
  </w:style>
  <w:style w:type="character" w:customStyle="1" w:styleId="PlainTextChar">
    <w:name w:val="Plain Text Char"/>
    <w:basedOn w:val="DefaultParagraphFont"/>
    <w:link w:val="PlainText"/>
    <w:rsid w:val="00190DF5"/>
    <w:rPr>
      <w:rFonts w:ascii="Courier New" w:hAnsi="Courier New" w:cs="Courier New"/>
    </w:rPr>
  </w:style>
  <w:style w:type="paragraph" w:styleId="E-mailSignature">
    <w:name w:val="E-mail Signature"/>
    <w:basedOn w:val="Normal"/>
    <w:link w:val="E-mailSignatureChar"/>
    <w:rsid w:val="00190DF5"/>
  </w:style>
  <w:style w:type="character" w:customStyle="1" w:styleId="E-mailSignatureChar">
    <w:name w:val="E-mail Signature Char"/>
    <w:basedOn w:val="DefaultParagraphFont"/>
    <w:link w:val="E-mailSignature"/>
    <w:rsid w:val="00190DF5"/>
    <w:rPr>
      <w:sz w:val="22"/>
    </w:rPr>
  </w:style>
  <w:style w:type="paragraph" w:styleId="NormalWeb">
    <w:name w:val="Normal (Web)"/>
    <w:basedOn w:val="Normal"/>
    <w:rsid w:val="00190DF5"/>
  </w:style>
  <w:style w:type="character" w:styleId="HTMLAcronym">
    <w:name w:val="HTML Acronym"/>
    <w:basedOn w:val="DefaultParagraphFont"/>
    <w:rsid w:val="00190DF5"/>
  </w:style>
  <w:style w:type="paragraph" w:styleId="HTMLAddress">
    <w:name w:val="HTML Address"/>
    <w:basedOn w:val="Normal"/>
    <w:link w:val="HTMLAddressChar"/>
    <w:rsid w:val="00190DF5"/>
    <w:rPr>
      <w:i/>
      <w:iCs/>
    </w:rPr>
  </w:style>
  <w:style w:type="character" w:customStyle="1" w:styleId="HTMLAddressChar">
    <w:name w:val="HTML Address Char"/>
    <w:basedOn w:val="DefaultParagraphFont"/>
    <w:link w:val="HTMLAddress"/>
    <w:rsid w:val="00190DF5"/>
    <w:rPr>
      <w:i/>
      <w:iCs/>
      <w:sz w:val="22"/>
    </w:rPr>
  </w:style>
  <w:style w:type="character" w:styleId="HTMLCite">
    <w:name w:val="HTML Cite"/>
    <w:basedOn w:val="DefaultParagraphFont"/>
    <w:rsid w:val="00190DF5"/>
    <w:rPr>
      <w:i/>
      <w:iCs/>
    </w:rPr>
  </w:style>
  <w:style w:type="character" w:styleId="HTMLCode">
    <w:name w:val="HTML Code"/>
    <w:basedOn w:val="DefaultParagraphFont"/>
    <w:rsid w:val="00190DF5"/>
    <w:rPr>
      <w:rFonts w:ascii="Courier New" w:hAnsi="Courier New" w:cs="Courier New"/>
      <w:sz w:val="20"/>
      <w:szCs w:val="20"/>
    </w:rPr>
  </w:style>
  <w:style w:type="character" w:styleId="HTMLDefinition">
    <w:name w:val="HTML Definition"/>
    <w:basedOn w:val="DefaultParagraphFont"/>
    <w:rsid w:val="00190DF5"/>
    <w:rPr>
      <w:i/>
      <w:iCs/>
    </w:rPr>
  </w:style>
  <w:style w:type="character" w:styleId="HTMLKeyboard">
    <w:name w:val="HTML Keyboard"/>
    <w:basedOn w:val="DefaultParagraphFont"/>
    <w:rsid w:val="00190DF5"/>
    <w:rPr>
      <w:rFonts w:ascii="Courier New" w:hAnsi="Courier New" w:cs="Courier New"/>
      <w:sz w:val="20"/>
      <w:szCs w:val="20"/>
    </w:rPr>
  </w:style>
  <w:style w:type="paragraph" w:styleId="HTMLPreformatted">
    <w:name w:val="HTML Preformatted"/>
    <w:basedOn w:val="Normal"/>
    <w:link w:val="HTMLPreformattedChar"/>
    <w:rsid w:val="00190DF5"/>
    <w:rPr>
      <w:rFonts w:ascii="Courier New" w:hAnsi="Courier New" w:cs="Courier New"/>
      <w:sz w:val="20"/>
    </w:rPr>
  </w:style>
  <w:style w:type="character" w:customStyle="1" w:styleId="HTMLPreformattedChar">
    <w:name w:val="HTML Preformatted Char"/>
    <w:basedOn w:val="DefaultParagraphFont"/>
    <w:link w:val="HTMLPreformatted"/>
    <w:rsid w:val="00190DF5"/>
    <w:rPr>
      <w:rFonts w:ascii="Courier New" w:hAnsi="Courier New" w:cs="Courier New"/>
    </w:rPr>
  </w:style>
  <w:style w:type="character" w:styleId="HTMLSample">
    <w:name w:val="HTML Sample"/>
    <w:basedOn w:val="DefaultParagraphFont"/>
    <w:rsid w:val="00190DF5"/>
    <w:rPr>
      <w:rFonts w:ascii="Courier New" w:hAnsi="Courier New" w:cs="Courier New"/>
    </w:rPr>
  </w:style>
  <w:style w:type="character" w:styleId="HTMLTypewriter">
    <w:name w:val="HTML Typewriter"/>
    <w:basedOn w:val="DefaultParagraphFont"/>
    <w:rsid w:val="00190DF5"/>
    <w:rPr>
      <w:rFonts w:ascii="Courier New" w:hAnsi="Courier New" w:cs="Courier New"/>
      <w:sz w:val="20"/>
      <w:szCs w:val="20"/>
    </w:rPr>
  </w:style>
  <w:style w:type="character" w:styleId="HTMLVariable">
    <w:name w:val="HTML Variable"/>
    <w:basedOn w:val="DefaultParagraphFont"/>
    <w:rsid w:val="00190DF5"/>
    <w:rPr>
      <w:i/>
      <w:iCs/>
    </w:rPr>
  </w:style>
  <w:style w:type="paragraph" w:styleId="CommentSubject">
    <w:name w:val="annotation subject"/>
    <w:basedOn w:val="CommentText"/>
    <w:next w:val="CommentText"/>
    <w:link w:val="CommentSubjectChar"/>
    <w:rsid w:val="00190DF5"/>
    <w:rPr>
      <w:b/>
      <w:bCs/>
    </w:rPr>
  </w:style>
  <w:style w:type="character" w:customStyle="1" w:styleId="CommentSubjectChar">
    <w:name w:val="Comment Subject Char"/>
    <w:basedOn w:val="CommentTextChar"/>
    <w:link w:val="CommentSubject"/>
    <w:rsid w:val="00190DF5"/>
    <w:rPr>
      <w:b/>
      <w:bCs/>
    </w:rPr>
  </w:style>
  <w:style w:type="numbering" w:styleId="1ai">
    <w:name w:val="Outline List 1"/>
    <w:basedOn w:val="NoList"/>
    <w:rsid w:val="00190DF5"/>
    <w:pPr>
      <w:numPr>
        <w:numId w:val="14"/>
      </w:numPr>
    </w:pPr>
  </w:style>
  <w:style w:type="numbering" w:styleId="111111">
    <w:name w:val="Outline List 2"/>
    <w:basedOn w:val="NoList"/>
    <w:rsid w:val="00190DF5"/>
    <w:pPr>
      <w:numPr>
        <w:numId w:val="15"/>
      </w:numPr>
    </w:pPr>
  </w:style>
  <w:style w:type="numbering" w:styleId="ArticleSection">
    <w:name w:val="Outline List 3"/>
    <w:basedOn w:val="NoList"/>
    <w:rsid w:val="00190DF5"/>
    <w:pPr>
      <w:numPr>
        <w:numId w:val="17"/>
      </w:numPr>
    </w:pPr>
  </w:style>
  <w:style w:type="table" w:styleId="TableSimple1">
    <w:name w:val="Table Simple 1"/>
    <w:basedOn w:val="TableNormal"/>
    <w:rsid w:val="00190DF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90DF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90DF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90DF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90DF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90DF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90DF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90DF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90DF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90DF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90DF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90DF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90DF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90DF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90DF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90DF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90DF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90DF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90DF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90DF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90DF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90DF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90DF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90DF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90DF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90DF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90DF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90DF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90DF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90DF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90DF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90DF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90DF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90DF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90DF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90DF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90DF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90DF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90DF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90DF5"/>
    <w:rPr>
      <w:rFonts w:eastAsia="Times New Roman" w:cs="Times New Roman"/>
      <w:b/>
      <w:kern w:val="28"/>
      <w:sz w:val="24"/>
      <w:lang w:eastAsia="en-AU"/>
    </w:rPr>
  </w:style>
  <w:style w:type="paragraph" w:styleId="Bibliography">
    <w:name w:val="Bibliography"/>
    <w:basedOn w:val="Normal"/>
    <w:next w:val="Normal"/>
    <w:uiPriority w:val="37"/>
    <w:semiHidden/>
    <w:unhideWhenUsed/>
    <w:rsid w:val="00204322"/>
  </w:style>
  <w:style w:type="character" w:styleId="BookTitle">
    <w:name w:val="Book Title"/>
    <w:basedOn w:val="DefaultParagraphFont"/>
    <w:uiPriority w:val="33"/>
    <w:qFormat/>
    <w:rsid w:val="00204322"/>
    <w:rPr>
      <w:b/>
      <w:bCs/>
      <w:i/>
      <w:iCs/>
      <w:spacing w:val="5"/>
    </w:rPr>
  </w:style>
  <w:style w:type="table" w:styleId="ColorfulGrid">
    <w:name w:val="Colorful Grid"/>
    <w:basedOn w:val="TableNormal"/>
    <w:uiPriority w:val="73"/>
    <w:semiHidden/>
    <w:unhideWhenUsed/>
    <w:rsid w:val="0020432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0432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0432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0432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0432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0432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0432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0432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0432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0432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0432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0432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0432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0432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0432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0432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0432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0432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0432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0432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0432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0432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0432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0432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0432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0432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0432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0432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2043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0432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0432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0432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0432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0432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0432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0432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0432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0432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0432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0432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0432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0432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043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0432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0432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0432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0432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0432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0432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043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0432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0432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0432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0432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0432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0432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0432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0432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0432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0432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0432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0432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0432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043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0432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0432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0432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0432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0432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0432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043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0432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0432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0432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0432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0432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0432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04322"/>
    <w:rPr>
      <w:color w:val="2B579A"/>
      <w:shd w:val="clear" w:color="auto" w:fill="E1DFDD"/>
    </w:rPr>
  </w:style>
  <w:style w:type="character" w:styleId="IntenseEmphasis">
    <w:name w:val="Intense Emphasis"/>
    <w:basedOn w:val="DefaultParagraphFont"/>
    <w:uiPriority w:val="21"/>
    <w:qFormat/>
    <w:rsid w:val="00204322"/>
    <w:rPr>
      <w:i/>
      <w:iCs/>
      <w:color w:val="4F81BD" w:themeColor="accent1"/>
    </w:rPr>
  </w:style>
  <w:style w:type="paragraph" w:styleId="IntenseQuote">
    <w:name w:val="Intense Quote"/>
    <w:basedOn w:val="Normal"/>
    <w:next w:val="Normal"/>
    <w:link w:val="IntenseQuoteChar"/>
    <w:uiPriority w:val="30"/>
    <w:qFormat/>
    <w:rsid w:val="0020432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04322"/>
    <w:rPr>
      <w:i/>
      <w:iCs/>
      <w:color w:val="4F81BD" w:themeColor="accent1"/>
      <w:sz w:val="22"/>
    </w:rPr>
  </w:style>
  <w:style w:type="character" w:styleId="IntenseReference">
    <w:name w:val="Intense Reference"/>
    <w:basedOn w:val="DefaultParagraphFont"/>
    <w:uiPriority w:val="32"/>
    <w:qFormat/>
    <w:rsid w:val="00204322"/>
    <w:rPr>
      <w:b/>
      <w:bCs/>
      <w:smallCaps/>
      <w:color w:val="4F81BD" w:themeColor="accent1"/>
      <w:spacing w:val="5"/>
    </w:rPr>
  </w:style>
  <w:style w:type="table" w:styleId="LightGrid">
    <w:name w:val="Light Grid"/>
    <w:basedOn w:val="TableNormal"/>
    <w:uiPriority w:val="62"/>
    <w:semiHidden/>
    <w:unhideWhenUsed/>
    <w:rsid w:val="0020432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0432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0432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0432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0432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0432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0432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0432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0432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0432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0432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0432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0432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0432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0432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0432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0432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0432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0432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0432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0432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204322"/>
    <w:pPr>
      <w:ind w:left="720"/>
      <w:contextualSpacing/>
    </w:pPr>
  </w:style>
  <w:style w:type="table" w:styleId="ListTable1Light">
    <w:name w:val="List Table 1 Light"/>
    <w:basedOn w:val="TableNormal"/>
    <w:uiPriority w:val="46"/>
    <w:rsid w:val="0020432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0432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0432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0432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0432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0432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0432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0432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0432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0432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0432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0432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0432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0432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0432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0432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0432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0432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0432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0432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0432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043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0432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0432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0432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0432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0432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0432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0432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0432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0432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0432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0432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0432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0432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0432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0432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0432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0432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0432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0432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0432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0432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0432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0432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0432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0432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0432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0432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0432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0432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0432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0432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0432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0432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0432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0432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0432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0432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0432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0432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0432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0432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0432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0432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0432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0432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0432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0432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0432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0432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0432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0432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0432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0432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0432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0432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0432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0432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0432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0432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0432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0432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0432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0432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0432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0432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0432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0432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0432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0432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043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043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043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043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043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043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043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04322"/>
    <w:rPr>
      <w:color w:val="2B579A"/>
      <w:shd w:val="clear" w:color="auto" w:fill="E1DFDD"/>
    </w:rPr>
  </w:style>
  <w:style w:type="paragraph" w:styleId="NoSpacing">
    <w:name w:val="No Spacing"/>
    <w:uiPriority w:val="1"/>
    <w:qFormat/>
    <w:rsid w:val="00204322"/>
    <w:rPr>
      <w:sz w:val="22"/>
    </w:rPr>
  </w:style>
  <w:style w:type="paragraph" w:styleId="NoteHeading">
    <w:name w:val="Note Heading"/>
    <w:basedOn w:val="Normal"/>
    <w:next w:val="Normal"/>
    <w:link w:val="NoteHeadingChar"/>
    <w:uiPriority w:val="99"/>
    <w:semiHidden/>
    <w:unhideWhenUsed/>
    <w:rsid w:val="00204322"/>
    <w:pPr>
      <w:spacing w:line="240" w:lineRule="auto"/>
    </w:pPr>
  </w:style>
  <w:style w:type="character" w:customStyle="1" w:styleId="NoteHeadingChar">
    <w:name w:val="Note Heading Char"/>
    <w:basedOn w:val="DefaultParagraphFont"/>
    <w:link w:val="NoteHeading"/>
    <w:uiPriority w:val="99"/>
    <w:semiHidden/>
    <w:rsid w:val="00204322"/>
    <w:rPr>
      <w:sz w:val="22"/>
    </w:rPr>
  </w:style>
  <w:style w:type="character" w:styleId="PlaceholderText">
    <w:name w:val="Placeholder Text"/>
    <w:basedOn w:val="DefaultParagraphFont"/>
    <w:uiPriority w:val="99"/>
    <w:semiHidden/>
    <w:rsid w:val="00204322"/>
    <w:rPr>
      <w:color w:val="808080"/>
    </w:rPr>
  </w:style>
  <w:style w:type="table" w:styleId="PlainTable1">
    <w:name w:val="Plain Table 1"/>
    <w:basedOn w:val="TableNormal"/>
    <w:uiPriority w:val="41"/>
    <w:rsid w:val="002043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043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043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0432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0432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2043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4322"/>
    <w:rPr>
      <w:i/>
      <w:iCs/>
      <w:color w:val="404040" w:themeColor="text1" w:themeTint="BF"/>
      <w:sz w:val="22"/>
    </w:rPr>
  </w:style>
  <w:style w:type="character" w:styleId="SmartHyperlink">
    <w:name w:val="Smart Hyperlink"/>
    <w:basedOn w:val="DefaultParagraphFont"/>
    <w:uiPriority w:val="99"/>
    <w:semiHidden/>
    <w:unhideWhenUsed/>
    <w:rsid w:val="00204322"/>
    <w:rPr>
      <w:u w:val="dotted"/>
    </w:rPr>
  </w:style>
  <w:style w:type="character" w:styleId="SubtleEmphasis">
    <w:name w:val="Subtle Emphasis"/>
    <w:basedOn w:val="DefaultParagraphFont"/>
    <w:uiPriority w:val="19"/>
    <w:qFormat/>
    <w:rsid w:val="00A33AEC"/>
    <w:rPr>
      <w:i/>
      <w:iCs/>
      <w:color w:val="404040" w:themeColor="text1" w:themeTint="BF"/>
    </w:rPr>
  </w:style>
  <w:style w:type="character" w:styleId="SubtleReference">
    <w:name w:val="Subtle Reference"/>
    <w:basedOn w:val="DefaultParagraphFont"/>
    <w:uiPriority w:val="31"/>
    <w:qFormat/>
    <w:rsid w:val="00A33AEC"/>
    <w:rPr>
      <w:smallCaps/>
      <w:color w:val="5A5A5A" w:themeColor="text1" w:themeTint="A5"/>
    </w:rPr>
  </w:style>
  <w:style w:type="table" w:styleId="TableGridLight">
    <w:name w:val="Grid Table Light"/>
    <w:basedOn w:val="TableNormal"/>
    <w:uiPriority w:val="40"/>
    <w:rsid w:val="00A33AE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A33AEC"/>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A33AEC"/>
    <w:rPr>
      <w:color w:val="605E5C"/>
      <w:shd w:val="clear" w:color="auto" w:fill="E1DFDD"/>
    </w:rPr>
  </w:style>
  <w:style w:type="character" w:customStyle="1" w:styleId="paragraphChar">
    <w:name w:val="paragraph Char"/>
    <w:aliases w:val="a Char"/>
    <w:basedOn w:val="DefaultParagraphFont"/>
    <w:link w:val="paragraph"/>
    <w:locked/>
    <w:rsid w:val="004D3821"/>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Template>
  <TotalTime>0</TotalTime>
  <Pages>9</Pages>
  <Words>1750</Words>
  <Characters>8421</Characters>
  <Application>Microsoft Office Word</Application>
  <DocSecurity>6</DocSecurity>
  <PresentationFormat/>
  <Lines>214</Lines>
  <Paragraphs>123</Paragraphs>
  <ScaleCrop>false</ScaleCrop>
  <HeadingPairs>
    <vt:vector size="2" baseType="variant">
      <vt:variant>
        <vt:lpstr>Title</vt:lpstr>
      </vt:variant>
      <vt:variant>
        <vt:i4>1</vt:i4>
      </vt:variant>
    </vt:vector>
  </HeadingPairs>
  <TitlesOfParts>
    <vt:vector size="1" baseType="lpstr">
      <vt:lpstr>Anti-Money Laundering and Counter-Terrorism Financing (Class Exemptions and Other Matters) Amendment Rules 2026</vt:lpstr>
    </vt:vector>
  </TitlesOfParts>
  <Manager/>
  <Company/>
  <LinksUpToDate>false</LinksUpToDate>
  <CharactersWithSpaces>10150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2026-02-06T04:15:00Z</dcterms:created>
  <dcterms:modified xsi:type="dcterms:W3CDTF">2026-02-06T04:15:00Z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Anti-Money Laundering and Counter-Terrorism Financing (Class Exemptions and Other Matters) Amendment Rules 2026</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2026</vt:lpwstr>
  </property>
  <property fmtid="{D5CDD505-2E9C-101B-9397-08002B2CF9AE}" pid="10" name="ID">
    <vt:lpwstr>OPC67677</vt:lpwstr>
  </property>
  <property fmtid="{D5CDD505-2E9C-101B-9397-08002B2CF9AE}" pid="11" name="DLM">
    <vt:lpwstr> </vt:lpwstr>
  </property>
  <property fmtid="{D5CDD505-2E9C-101B-9397-08002B2CF9AE}" pid="12" name="Classification">
    <vt:lpwstr>EXPOSURE DRAFT</vt:lpwstr>
  </property>
  <property fmtid="{D5CDD505-2E9C-101B-9397-08002B2CF9AE}" pid="13" name="DoNotAsk">
    <vt:lpwstr>0</vt:lpwstr>
  </property>
  <property fmtid="{D5CDD505-2E9C-101B-9397-08002B2CF9AE}" pid="14" name="ChangedTitle">
    <vt:lpwstr/>
  </property>
  <property fmtid="{D5CDD505-2E9C-101B-9397-08002B2CF9AE}" pid="15" name="TrimID">
    <vt:lpwstr>PC:D26/1609</vt:lpwstr>
  </property>
</Properties>
</file>