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A3F7" w14:textId="77777777" w:rsidR="00715914" w:rsidRPr="00D525A4" w:rsidRDefault="00DA186E" w:rsidP="00B05CF4">
      <w:pPr>
        <w:rPr>
          <w:sz w:val="28"/>
        </w:rPr>
      </w:pPr>
      <w:r w:rsidRPr="00D525A4">
        <w:rPr>
          <w:noProof/>
          <w:lang w:eastAsia="en-AU"/>
        </w:rPr>
        <w:drawing>
          <wp:inline distT="0" distB="0" distL="0" distR="0" wp14:anchorId="1906F5DC" wp14:editId="5268F58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C16BD4" w14:paraId="6176E749" w14:textId="77777777" w:rsidTr="00C16BD4">
        <w:tc>
          <w:tcPr>
            <w:tcW w:w="5000" w:type="pct"/>
            <w:shd w:val="clear" w:color="auto" w:fill="auto"/>
          </w:tcPr>
          <w:p w14:paraId="3305DEC6" w14:textId="77777777" w:rsidR="00C16BD4" w:rsidRDefault="00C16BD4" w:rsidP="00C16BD4">
            <w:pPr>
              <w:jc w:val="center"/>
              <w:rPr>
                <w:b/>
                <w:sz w:val="26"/>
              </w:rPr>
            </w:pPr>
            <w:r>
              <w:rPr>
                <w:b/>
                <w:sz w:val="26"/>
              </w:rPr>
              <w:t>EXPOSURE DRAFT</w:t>
            </w:r>
          </w:p>
          <w:p w14:paraId="48BEF983" w14:textId="44259114" w:rsidR="00C16BD4" w:rsidRPr="00C16BD4" w:rsidRDefault="00C16BD4" w:rsidP="00C16BD4">
            <w:pPr>
              <w:rPr>
                <w:b/>
                <w:sz w:val="20"/>
              </w:rPr>
            </w:pPr>
          </w:p>
        </w:tc>
      </w:tr>
    </w:tbl>
    <w:p w14:paraId="558D3FE1" w14:textId="77777777" w:rsidR="00715914" w:rsidRDefault="00715914" w:rsidP="00715914">
      <w:pPr>
        <w:rPr>
          <w:sz w:val="19"/>
        </w:rPr>
      </w:pPr>
    </w:p>
    <w:p w14:paraId="4F56D948" w14:textId="77777777" w:rsidR="00C16BD4" w:rsidRPr="00D525A4" w:rsidRDefault="00C16BD4" w:rsidP="00715914">
      <w:pPr>
        <w:rPr>
          <w:sz w:val="19"/>
        </w:rPr>
      </w:pPr>
    </w:p>
    <w:p w14:paraId="26D86C0A" w14:textId="2D693449" w:rsidR="00715914" w:rsidRPr="00D525A4" w:rsidRDefault="008E18A8" w:rsidP="00715914">
      <w:pPr>
        <w:pStyle w:val="ShortT"/>
      </w:pPr>
      <w:r w:rsidRPr="00D525A4">
        <w:t>Anti</w:t>
      </w:r>
      <w:r w:rsidR="00D525A4">
        <w:noBreakHyphen/>
      </w:r>
      <w:r w:rsidRPr="00D525A4">
        <w:t>Money Laundering and Counter</w:t>
      </w:r>
      <w:r w:rsidR="00D525A4">
        <w:noBreakHyphen/>
      </w:r>
      <w:r w:rsidRPr="00D525A4">
        <w:t xml:space="preserve">Terrorism Financing </w:t>
      </w:r>
      <w:r w:rsidR="00512D87" w:rsidRPr="00D525A4">
        <w:t>Rules 2</w:t>
      </w:r>
      <w:r w:rsidRPr="00D525A4">
        <w:t>02</w:t>
      </w:r>
      <w:r w:rsidR="00B736A2" w:rsidRPr="00D525A4">
        <w:t>5</w:t>
      </w:r>
    </w:p>
    <w:p w14:paraId="57B5722E" w14:textId="77777777" w:rsidR="00116FBA" w:rsidRPr="00D525A4" w:rsidRDefault="00116FBA" w:rsidP="008A04E4">
      <w:pPr>
        <w:pStyle w:val="SignCoverPageStart"/>
        <w:rPr>
          <w:szCs w:val="22"/>
        </w:rPr>
      </w:pPr>
      <w:r w:rsidRPr="00D525A4">
        <w:rPr>
          <w:szCs w:val="22"/>
        </w:rPr>
        <w:t>I, Brendan Thomas, Chief Executive Officer, Australian Transaction Reports and Analysis Centre, make the following rules.</w:t>
      </w:r>
    </w:p>
    <w:p w14:paraId="66EA318A" w14:textId="7E6BFF4E" w:rsidR="00116FBA" w:rsidRPr="00D525A4" w:rsidRDefault="00116FBA" w:rsidP="008A04E4">
      <w:pPr>
        <w:keepNext/>
        <w:spacing w:before="300" w:line="240" w:lineRule="atLeast"/>
        <w:ind w:right="397"/>
        <w:jc w:val="both"/>
        <w:rPr>
          <w:szCs w:val="22"/>
        </w:rPr>
      </w:pPr>
      <w:r w:rsidRPr="00D525A4">
        <w:rPr>
          <w:szCs w:val="22"/>
        </w:rPr>
        <w:t>Dated</w:t>
      </w:r>
      <w:r w:rsidRPr="00D525A4">
        <w:rPr>
          <w:szCs w:val="22"/>
        </w:rPr>
        <w:tab/>
      </w:r>
      <w:r w:rsidRPr="00D525A4">
        <w:rPr>
          <w:szCs w:val="22"/>
        </w:rPr>
        <w:tab/>
      </w:r>
      <w:r w:rsidRPr="00D525A4">
        <w:rPr>
          <w:szCs w:val="22"/>
        </w:rPr>
        <w:tab/>
      </w:r>
      <w:r w:rsidRPr="00D525A4">
        <w:rPr>
          <w:szCs w:val="22"/>
        </w:rPr>
        <w:tab/>
      </w:r>
      <w:r w:rsidR="00B736A2" w:rsidRPr="00D525A4">
        <w:rPr>
          <w:szCs w:val="22"/>
        </w:rPr>
        <w:t>2025</w:t>
      </w:r>
    </w:p>
    <w:p w14:paraId="417B6B60" w14:textId="77777777" w:rsidR="00116FBA" w:rsidRPr="00D525A4" w:rsidRDefault="00116FBA" w:rsidP="008A04E4">
      <w:pPr>
        <w:keepNext/>
        <w:tabs>
          <w:tab w:val="left" w:pos="3402"/>
        </w:tabs>
        <w:spacing w:before="1440" w:line="300" w:lineRule="atLeast"/>
        <w:ind w:right="397"/>
        <w:rPr>
          <w:szCs w:val="22"/>
        </w:rPr>
      </w:pPr>
      <w:r w:rsidRPr="00D525A4">
        <w:rPr>
          <w:szCs w:val="22"/>
        </w:rPr>
        <w:t>Brendan Thomas</w:t>
      </w:r>
      <w:r w:rsidRPr="00D525A4">
        <w:t xml:space="preserve"> </w:t>
      </w:r>
      <w:r w:rsidRPr="00D525A4">
        <w:rPr>
          <w:b/>
          <w:szCs w:val="22"/>
        </w:rPr>
        <w:t>[DRAFT ONLY—NOT FOR SIGNATURE]</w:t>
      </w:r>
    </w:p>
    <w:p w14:paraId="36D31F76" w14:textId="77777777" w:rsidR="00116FBA" w:rsidRPr="00D525A4" w:rsidRDefault="00116FBA" w:rsidP="008A04E4">
      <w:pPr>
        <w:pStyle w:val="SignCoverPageEnd"/>
        <w:rPr>
          <w:szCs w:val="22"/>
        </w:rPr>
      </w:pPr>
      <w:r w:rsidRPr="00D525A4">
        <w:rPr>
          <w:szCs w:val="22"/>
        </w:rPr>
        <w:t>Chief Executive Officer, Australian Transaction Reports and Analysis Centre</w:t>
      </w:r>
    </w:p>
    <w:p w14:paraId="5C6AC6AF" w14:textId="77777777" w:rsidR="00116FBA" w:rsidRPr="00D525A4" w:rsidRDefault="00116FBA" w:rsidP="008A04E4"/>
    <w:p w14:paraId="46DA3406" w14:textId="77777777" w:rsidR="009C6B74" w:rsidRPr="00D525A4" w:rsidRDefault="009C6B74" w:rsidP="009C6B74">
      <w:pPr>
        <w:pStyle w:val="Header"/>
        <w:tabs>
          <w:tab w:val="clear" w:pos="4150"/>
          <w:tab w:val="clear" w:pos="8307"/>
        </w:tabs>
      </w:pPr>
      <w:r w:rsidRPr="00D525A4">
        <w:rPr>
          <w:rStyle w:val="CharChapNo"/>
        </w:rPr>
        <w:t xml:space="preserve"> </w:t>
      </w:r>
      <w:r w:rsidRPr="00D525A4">
        <w:rPr>
          <w:rStyle w:val="CharChapText"/>
        </w:rPr>
        <w:t xml:space="preserve"> </w:t>
      </w:r>
    </w:p>
    <w:p w14:paraId="3C0AAC69" w14:textId="77777777" w:rsidR="009C6B74" w:rsidRPr="00D525A4" w:rsidRDefault="009C6B74" w:rsidP="009C6B74">
      <w:pPr>
        <w:pStyle w:val="Header"/>
        <w:tabs>
          <w:tab w:val="clear" w:pos="4150"/>
          <w:tab w:val="clear" w:pos="8307"/>
        </w:tabs>
      </w:pPr>
      <w:r w:rsidRPr="00D525A4">
        <w:t xml:space="preserve">  </w:t>
      </w:r>
    </w:p>
    <w:p w14:paraId="00851702" w14:textId="77777777" w:rsidR="009C6B74" w:rsidRPr="00D525A4" w:rsidRDefault="009C6B74" w:rsidP="009C6B74">
      <w:pPr>
        <w:pStyle w:val="Header"/>
        <w:tabs>
          <w:tab w:val="clear" w:pos="4150"/>
          <w:tab w:val="clear" w:pos="8307"/>
        </w:tabs>
      </w:pPr>
      <w:r w:rsidRPr="00D525A4">
        <w:t xml:space="preserve">  </w:t>
      </w:r>
    </w:p>
    <w:p w14:paraId="188212BF" w14:textId="77777777" w:rsidR="00715914" w:rsidRPr="00D525A4" w:rsidRDefault="00715914" w:rsidP="00715914">
      <w:pPr>
        <w:sectPr w:rsidR="00715914" w:rsidRPr="00D525A4" w:rsidSect="0086528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115F4D7" w14:textId="77777777" w:rsidR="00F67BCA" w:rsidRPr="00D525A4" w:rsidRDefault="00715914" w:rsidP="00715914">
      <w:pPr>
        <w:outlineLvl w:val="0"/>
        <w:rPr>
          <w:sz w:val="36"/>
        </w:rPr>
      </w:pPr>
      <w:r w:rsidRPr="00D525A4">
        <w:rPr>
          <w:sz w:val="36"/>
        </w:rPr>
        <w:lastRenderedPageBreak/>
        <w:t>Contents</w:t>
      </w:r>
    </w:p>
    <w:p w14:paraId="5DD33220" w14:textId="628B0ABD" w:rsidR="00C16BD4" w:rsidRDefault="00C16BD4">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C16BD4">
        <w:rPr>
          <w:b w:val="0"/>
          <w:noProof/>
          <w:sz w:val="18"/>
        </w:rPr>
        <w:tab/>
      </w:r>
      <w:r w:rsidRPr="00C16BD4">
        <w:rPr>
          <w:b w:val="0"/>
          <w:noProof/>
          <w:sz w:val="18"/>
        </w:rPr>
        <w:fldChar w:fldCharType="begin"/>
      </w:r>
      <w:r w:rsidRPr="00C16BD4">
        <w:rPr>
          <w:b w:val="0"/>
          <w:noProof/>
          <w:sz w:val="18"/>
        </w:rPr>
        <w:instrText xml:space="preserve"> PAGEREF _Toc198224896 \h </w:instrText>
      </w:r>
      <w:r w:rsidRPr="00C16BD4">
        <w:rPr>
          <w:b w:val="0"/>
          <w:noProof/>
          <w:sz w:val="18"/>
        </w:rPr>
      </w:r>
      <w:r w:rsidRPr="00C16BD4">
        <w:rPr>
          <w:b w:val="0"/>
          <w:noProof/>
          <w:sz w:val="18"/>
        </w:rPr>
        <w:fldChar w:fldCharType="separate"/>
      </w:r>
      <w:r w:rsidR="00EE271C">
        <w:rPr>
          <w:b w:val="0"/>
          <w:noProof/>
          <w:sz w:val="18"/>
        </w:rPr>
        <w:t>1</w:t>
      </w:r>
      <w:r w:rsidRPr="00C16BD4">
        <w:rPr>
          <w:b w:val="0"/>
          <w:noProof/>
          <w:sz w:val="18"/>
        </w:rPr>
        <w:fldChar w:fldCharType="end"/>
      </w:r>
    </w:p>
    <w:p w14:paraId="0A36D2FD" w14:textId="152EE7E0"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1</w:t>
      </w:r>
      <w:r>
        <w:rPr>
          <w:noProof/>
        </w:rPr>
        <w:tab/>
        <w:t>Name</w:t>
      </w:r>
      <w:r w:rsidRPr="00C16BD4">
        <w:rPr>
          <w:noProof/>
        </w:rPr>
        <w:tab/>
      </w:r>
      <w:r w:rsidRPr="00C16BD4">
        <w:rPr>
          <w:noProof/>
        </w:rPr>
        <w:fldChar w:fldCharType="begin"/>
      </w:r>
      <w:r w:rsidRPr="00C16BD4">
        <w:rPr>
          <w:noProof/>
        </w:rPr>
        <w:instrText xml:space="preserve"> PAGEREF _Toc198224897 \h </w:instrText>
      </w:r>
      <w:r w:rsidRPr="00C16BD4">
        <w:rPr>
          <w:noProof/>
        </w:rPr>
      </w:r>
      <w:r w:rsidRPr="00C16BD4">
        <w:rPr>
          <w:noProof/>
        </w:rPr>
        <w:fldChar w:fldCharType="separate"/>
      </w:r>
      <w:r w:rsidR="00EE271C">
        <w:rPr>
          <w:noProof/>
        </w:rPr>
        <w:t>1</w:t>
      </w:r>
      <w:r w:rsidRPr="00C16BD4">
        <w:rPr>
          <w:noProof/>
        </w:rPr>
        <w:fldChar w:fldCharType="end"/>
      </w:r>
    </w:p>
    <w:p w14:paraId="7448F3D2" w14:textId="77806CB0"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2</w:t>
      </w:r>
      <w:r>
        <w:rPr>
          <w:noProof/>
        </w:rPr>
        <w:tab/>
        <w:t>Commencement</w:t>
      </w:r>
      <w:r w:rsidRPr="00C16BD4">
        <w:rPr>
          <w:noProof/>
        </w:rPr>
        <w:tab/>
      </w:r>
      <w:r w:rsidRPr="00C16BD4">
        <w:rPr>
          <w:noProof/>
        </w:rPr>
        <w:fldChar w:fldCharType="begin"/>
      </w:r>
      <w:r w:rsidRPr="00C16BD4">
        <w:rPr>
          <w:noProof/>
        </w:rPr>
        <w:instrText xml:space="preserve"> PAGEREF _Toc198224898 \h </w:instrText>
      </w:r>
      <w:r w:rsidRPr="00C16BD4">
        <w:rPr>
          <w:noProof/>
        </w:rPr>
      </w:r>
      <w:r w:rsidRPr="00C16BD4">
        <w:rPr>
          <w:noProof/>
        </w:rPr>
        <w:fldChar w:fldCharType="separate"/>
      </w:r>
      <w:r w:rsidR="00EE271C">
        <w:rPr>
          <w:noProof/>
        </w:rPr>
        <w:t>1</w:t>
      </w:r>
      <w:r w:rsidRPr="00C16BD4">
        <w:rPr>
          <w:noProof/>
        </w:rPr>
        <w:fldChar w:fldCharType="end"/>
      </w:r>
    </w:p>
    <w:p w14:paraId="2DBEBD2C" w14:textId="06DDB217"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3</w:t>
      </w:r>
      <w:r>
        <w:rPr>
          <w:noProof/>
        </w:rPr>
        <w:tab/>
        <w:t>Authority</w:t>
      </w:r>
      <w:r w:rsidRPr="00C16BD4">
        <w:rPr>
          <w:noProof/>
        </w:rPr>
        <w:tab/>
      </w:r>
      <w:r w:rsidRPr="00C16BD4">
        <w:rPr>
          <w:noProof/>
        </w:rPr>
        <w:fldChar w:fldCharType="begin"/>
      </w:r>
      <w:r w:rsidRPr="00C16BD4">
        <w:rPr>
          <w:noProof/>
        </w:rPr>
        <w:instrText xml:space="preserve"> PAGEREF _Toc198224899 \h </w:instrText>
      </w:r>
      <w:r w:rsidRPr="00C16BD4">
        <w:rPr>
          <w:noProof/>
        </w:rPr>
      </w:r>
      <w:r w:rsidRPr="00C16BD4">
        <w:rPr>
          <w:noProof/>
        </w:rPr>
        <w:fldChar w:fldCharType="separate"/>
      </w:r>
      <w:r w:rsidR="00EE271C">
        <w:rPr>
          <w:noProof/>
        </w:rPr>
        <w:t>1</w:t>
      </w:r>
      <w:r w:rsidRPr="00C16BD4">
        <w:rPr>
          <w:noProof/>
        </w:rPr>
        <w:fldChar w:fldCharType="end"/>
      </w:r>
    </w:p>
    <w:p w14:paraId="096BFA75" w14:textId="331FDA45"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4</w:t>
      </w:r>
      <w:r>
        <w:rPr>
          <w:noProof/>
        </w:rPr>
        <w:tab/>
        <w:t>Definitions</w:t>
      </w:r>
      <w:r w:rsidRPr="00C16BD4">
        <w:rPr>
          <w:noProof/>
        </w:rPr>
        <w:tab/>
      </w:r>
      <w:r w:rsidRPr="00C16BD4">
        <w:rPr>
          <w:noProof/>
        </w:rPr>
        <w:fldChar w:fldCharType="begin"/>
      </w:r>
      <w:r w:rsidRPr="00C16BD4">
        <w:rPr>
          <w:noProof/>
        </w:rPr>
        <w:instrText xml:space="preserve"> PAGEREF _Toc198224900 \h </w:instrText>
      </w:r>
      <w:r w:rsidRPr="00C16BD4">
        <w:rPr>
          <w:noProof/>
        </w:rPr>
      </w:r>
      <w:r w:rsidRPr="00C16BD4">
        <w:rPr>
          <w:noProof/>
        </w:rPr>
        <w:fldChar w:fldCharType="separate"/>
      </w:r>
      <w:r w:rsidR="00EE271C">
        <w:rPr>
          <w:noProof/>
        </w:rPr>
        <w:t>1</w:t>
      </w:r>
      <w:r w:rsidRPr="00C16BD4">
        <w:rPr>
          <w:noProof/>
        </w:rPr>
        <w:fldChar w:fldCharType="end"/>
      </w:r>
    </w:p>
    <w:p w14:paraId="0E741A32" w14:textId="2EAB09BF"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5</w:t>
      </w:r>
      <w:r>
        <w:rPr>
          <w:noProof/>
        </w:rPr>
        <w:tab/>
        <w:t>Domestic politically exposed person</w:t>
      </w:r>
      <w:r w:rsidRPr="00C16BD4">
        <w:rPr>
          <w:noProof/>
        </w:rPr>
        <w:tab/>
      </w:r>
      <w:r w:rsidRPr="00C16BD4">
        <w:rPr>
          <w:noProof/>
        </w:rPr>
        <w:fldChar w:fldCharType="begin"/>
      </w:r>
      <w:r w:rsidRPr="00C16BD4">
        <w:rPr>
          <w:noProof/>
        </w:rPr>
        <w:instrText xml:space="preserve"> PAGEREF _Toc198224901 \h </w:instrText>
      </w:r>
      <w:r w:rsidRPr="00C16BD4">
        <w:rPr>
          <w:noProof/>
        </w:rPr>
      </w:r>
      <w:r w:rsidRPr="00C16BD4">
        <w:rPr>
          <w:noProof/>
        </w:rPr>
        <w:fldChar w:fldCharType="separate"/>
      </w:r>
      <w:r w:rsidR="00EE271C">
        <w:rPr>
          <w:noProof/>
        </w:rPr>
        <w:t>5</w:t>
      </w:r>
      <w:r w:rsidRPr="00C16BD4">
        <w:rPr>
          <w:noProof/>
        </w:rPr>
        <w:fldChar w:fldCharType="end"/>
      </w:r>
    </w:p>
    <w:p w14:paraId="171DB2C7" w14:textId="40062005"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6</w:t>
      </w:r>
      <w:r>
        <w:rPr>
          <w:noProof/>
        </w:rPr>
        <w:tab/>
        <w:t>Enrolment details</w:t>
      </w:r>
      <w:r w:rsidRPr="00C16BD4">
        <w:rPr>
          <w:noProof/>
        </w:rPr>
        <w:tab/>
      </w:r>
      <w:r w:rsidRPr="00C16BD4">
        <w:rPr>
          <w:noProof/>
        </w:rPr>
        <w:fldChar w:fldCharType="begin"/>
      </w:r>
      <w:r w:rsidRPr="00C16BD4">
        <w:rPr>
          <w:noProof/>
        </w:rPr>
        <w:instrText xml:space="preserve"> PAGEREF _Toc198224902 \h </w:instrText>
      </w:r>
      <w:r w:rsidRPr="00C16BD4">
        <w:rPr>
          <w:noProof/>
        </w:rPr>
      </w:r>
      <w:r w:rsidRPr="00C16BD4">
        <w:rPr>
          <w:noProof/>
        </w:rPr>
        <w:fldChar w:fldCharType="separate"/>
      </w:r>
      <w:r w:rsidR="00EE271C">
        <w:rPr>
          <w:noProof/>
        </w:rPr>
        <w:t>6</w:t>
      </w:r>
      <w:r w:rsidRPr="00C16BD4">
        <w:rPr>
          <w:noProof/>
        </w:rPr>
        <w:fldChar w:fldCharType="end"/>
      </w:r>
    </w:p>
    <w:p w14:paraId="69604220" w14:textId="201E9DFB"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7</w:t>
      </w:r>
      <w:r>
        <w:rPr>
          <w:noProof/>
        </w:rPr>
        <w:tab/>
        <w:t>Registrable details</w:t>
      </w:r>
      <w:r w:rsidRPr="00C16BD4">
        <w:rPr>
          <w:noProof/>
        </w:rPr>
        <w:tab/>
      </w:r>
      <w:r w:rsidRPr="00C16BD4">
        <w:rPr>
          <w:noProof/>
        </w:rPr>
        <w:fldChar w:fldCharType="begin"/>
      </w:r>
      <w:r w:rsidRPr="00C16BD4">
        <w:rPr>
          <w:noProof/>
        </w:rPr>
        <w:instrText xml:space="preserve"> PAGEREF _Toc198224903 \h </w:instrText>
      </w:r>
      <w:r w:rsidRPr="00C16BD4">
        <w:rPr>
          <w:noProof/>
        </w:rPr>
      </w:r>
      <w:r w:rsidRPr="00C16BD4">
        <w:rPr>
          <w:noProof/>
        </w:rPr>
        <w:fldChar w:fldCharType="separate"/>
      </w:r>
      <w:r w:rsidR="00EE271C">
        <w:rPr>
          <w:noProof/>
        </w:rPr>
        <w:t>6</w:t>
      </w:r>
      <w:r w:rsidRPr="00C16BD4">
        <w:rPr>
          <w:noProof/>
        </w:rPr>
        <w:fldChar w:fldCharType="end"/>
      </w:r>
    </w:p>
    <w:p w14:paraId="2CD5AA8E" w14:textId="68E93DF2"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8</w:t>
      </w:r>
      <w:r>
        <w:rPr>
          <w:noProof/>
        </w:rPr>
        <w:tab/>
        <w:t>Transfer of value—excluded transfers</w:t>
      </w:r>
      <w:r w:rsidRPr="00C16BD4">
        <w:rPr>
          <w:noProof/>
        </w:rPr>
        <w:tab/>
      </w:r>
      <w:r w:rsidRPr="00C16BD4">
        <w:rPr>
          <w:noProof/>
        </w:rPr>
        <w:fldChar w:fldCharType="begin"/>
      </w:r>
      <w:r w:rsidRPr="00C16BD4">
        <w:rPr>
          <w:noProof/>
        </w:rPr>
        <w:instrText xml:space="preserve"> PAGEREF _Toc198224904 \h </w:instrText>
      </w:r>
      <w:r w:rsidRPr="00C16BD4">
        <w:rPr>
          <w:noProof/>
        </w:rPr>
      </w:r>
      <w:r w:rsidRPr="00C16BD4">
        <w:rPr>
          <w:noProof/>
        </w:rPr>
        <w:fldChar w:fldCharType="separate"/>
      </w:r>
      <w:r w:rsidR="00EE271C">
        <w:rPr>
          <w:noProof/>
        </w:rPr>
        <w:t>7</w:t>
      </w:r>
      <w:r w:rsidRPr="00C16BD4">
        <w:rPr>
          <w:noProof/>
        </w:rPr>
        <w:fldChar w:fldCharType="end"/>
      </w:r>
    </w:p>
    <w:p w14:paraId="1BFCD6C4" w14:textId="5BAF9DD1"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9</w:t>
      </w:r>
      <w:r>
        <w:rPr>
          <w:noProof/>
        </w:rPr>
        <w:tab/>
        <w:t>Reporting group that is a business group</w:t>
      </w:r>
      <w:r w:rsidRPr="00C16BD4">
        <w:rPr>
          <w:noProof/>
        </w:rPr>
        <w:tab/>
      </w:r>
      <w:r w:rsidRPr="00C16BD4">
        <w:rPr>
          <w:noProof/>
        </w:rPr>
        <w:fldChar w:fldCharType="begin"/>
      </w:r>
      <w:r w:rsidRPr="00C16BD4">
        <w:rPr>
          <w:noProof/>
        </w:rPr>
        <w:instrText xml:space="preserve"> PAGEREF _Toc198224905 \h </w:instrText>
      </w:r>
      <w:r w:rsidRPr="00C16BD4">
        <w:rPr>
          <w:noProof/>
        </w:rPr>
      </w:r>
      <w:r w:rsidRPr="00C16BD4">
        <w:rPr>
          <w:noProof/>
        </w:rPr>
        <w:fldChar w:fldCharType="separate"/>
      </w:r>
      <w:r w:rsidR="00EE271C">
        <w:rPr>
          <w:noProof/>
        </w:rPr>
        <w:t>7</w:t>
      </w:r>
      <w:r w:rsidRPr="00C16BD4">
        <w:rPr>
          <w:noProof/>
        </w:rPr>
        <w:fldChar w:fldCharType="end"/>
      </w:r>
    </w:p>
    <w:p w14:paraId="4DC7D420" w14:textId="519C3B45"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10</w:t>
      </w:r>
      <w:r>
        <w:rPr>
          <w:noProof/>
        </w:rPr>
        <w:tab/>
        <w:t>Reporting group formed by election</w:t>
      </w:r>
      <w:r w:rsidRPr="00C16BD4">
        <w:rPr>
          <w:noProof/>
        </w:rPr>
        <w:tab/>
      </w:r>
      <w:r w:rsidRPr="00C16BD4">
        <w:rPr>
          <w:noProof/>
        </w:rPr>
        <w:fldChar w:fldCharType="begin"/>
      </w:r>
      <w:r w:rsidRPr="00C16BD4">
        <w:rPr>
          <w:noProof/>
        </w:rPr>
        <w:instrText xml:space="preserve"> PAGEREF _Toc198224906 \h </w:instrText>
      </w:r>
      <w:r w:rsidRPr="00C16BD4">
        <w:rPr>
          <w:noProof/>
        </w:rPr>
      </w:r>
      <w:r w:rsidRPr="00C16BD4">
        <w:rPr>
          <w:noProof/>
        </w:rPr>
        <w:fldChar w:fldCharType="separate"/>
      </w:r>
      <w:r w:rsidR="00EE271C">
        <w:rPr>
          <w:noProof/>
        </w:rPr>
        <w:t>8</w:t>
      </w:r>
      <w:r w:rsidRPr="00C16BD4">
        <w:rPr>
          <w:noProof/>
        </w:rPr>
        <w:fldChar w:fldCharType="end"/>
      </w:r>
    </w:p>
    <w:p w14:paraId="0621AEF0" w14:textId="52576B93" w:rsidR="00C16BD4" w:rsidRDefault="00C16BD4">
      <w:pPr>
        <w:pStyle w:val="TOC2"/>
        <w:rPr>
          <w:rFonts w:asciiTheme="minorHAnsi" w:eastAsiaTheme="minorEastAsia" w:hAnsiTheme="minorHAnsi" w:cstheme="minorBidi"/>
          <w:b w:val="0"/>
          <w:noProof/>
          <w:kern w:val="2"/>
          <w:szCs w:val="24"/>
          <w14:ligatures w14:val="standardContextual"/>
        </w:rPr>
      </w:pPr>
      <w:r>
        <w:rPr>
          <w:noProof/>
        </w:rPr>
        <w:t>Part 2—Enrolment</w:t>
      </w:r>
      <w:r w:rsidRPr="00C16BD4">
        <w:rPr>
          <w:b w:val="0"/>
          <w:noProof/>
          <w:sz w:val="18"/>
        </w:rPr>
        <w:tab/>
      </w:r>
      <w:r w:rsidRPr="00C16BD4">
        <w:rPr>
          <w:b w:val="0"/>
          <w:noProof/>
          <w:sz w:val="18"/>
        </w:rPr>
        <w:fldChar w:fldCharType="begin"/>
      </w:r>
      <w:r w:rsidRPr="00C16BD4">
        <w:rPr>
          <w:b w:val="0"/>
          <w:noProof/>
          <w:sz w:val="18"/>
        </w:rPr>
        <w:instrText xml:space="preserve"> PAGEREF _Toc198224907 \h </w:instrText>
      </w:r>
      <w:r w:rsidRPr="00C16BD4">
        <w:rPr>
          <w:b w:val="0"/>
          <w:noProof/>
          <w:sz w:val="18"/>
        </w:rPr>
      </w:r>
      <w:r w:rsidRPr="00C16BD4">
        <w:rPr>
          <w:b w:val="0"/>
          <w:noProof/>
          <w:sz w:val="18"/>
        </w:rPr>
        <w:fldChar w:fldCharType="separate"/>
      </w:r>
      <w:r w:rsidR="00EE271C">
        <w:rPr>
          <w:b w:val="0"/>
          <w:noProof/>
          <w:sz w:val="18"/>
        </w:rPr>
        <w:t>10</w:t>
      </w:r>
      <w:r w:rsidRPr="00C16BD4">
        <w:rPr>
          <w:b w:val="0"/>
          <w:noProof/>
          <w:sz w:val="18"/>
        </w:rPr>
        <w:fldChar w:fldCharType="end"/>
      </w:r>
    </w:p>
    <w:p w14:paraId="5540E276" w14:textId="2C703DAD"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1—Application for enrolment</w:t>
      </w:r>
      <w:r w:rsidRPr="00C16BD4">
        <w:rPr>
          <w:b w:val="0"/>
          <w:noProof/>
          <w:sz w:val="18"/>
        </w:rPr>
        <w:tab/>
      </w:r>
      <w:r w:rsidRPr="00C16BD4">
        <w:rPr>
          <w:b w:val="0"/>
          <w:noProof/>
          <w:sz w:val="18"/>
        </w:rPr>
        <w:fldChar w:fldCharType="begin"/>
      </w:r>
      <w:r w:rsidRPr="00C16BD4">
        <w:rPr>
          <w:b w:val="0"/>
          <w:noProof/>
          <w:sz w:val="18"/>
        </w:rPr>
        <w:instrText xml:space="preserve"> PAGEREF _Toc198224908 \h </w:instrText>
      </w:r>
      <w:r w:rsidRPr="00C16BD4">
        <w:rPr>
          <w:b w:val="0"/>
          <w:noProof/>
          <w:sz w:val="18"/>
        </w:rPr>
      </w:r>
      <w:r w:rsidRPr="00C16BD4">
        <w:rPr>
          <w:b w:val="0"/>
          <w:noProof/>
          <w:sz w:val="18"/>
        </w:rPr>
        <w:fldChar w:fldCharType="separate"/>
      </w:r>
      <w:r w:rsidR="00EE271C">
        <w:rPr>
          <w:b w:val="0"/>
          <w:noProof/>
          <w:sz w:val="18"/>
        </w:rPr>
        <w:t>10</w:t>
      </w:r>
      <w:r w:rsidRPr="00C16BD4">
        <w:rPr>
          <w:b w:val="0"/>
          <w:noProof/>
          <w:sz w:val="18"/>
        </w:rPr>
        <w:fldChar w:fldCharType="end"/>
      </w:r>
    </w:p>
    <w:p w14:paraId="353CA854" w14:textId="7BB91C67"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1</w:t>
      </w:r>
      <w:r>
        <w:rPr>
          <w:noProof/>
        </w:rPr>
        <w:tab/>
        <w:t>Purpose of this Division</w:t>
      </w:r>
      <w:r w:rsidRPr="00C16BD4">
        <w:rPr>
          <w:noProof/>
        </w:rPr>
        <w:tab/>
      </w:r>
      <w:r w:rsidRPr="00C16BD4">
        <w:rPr>
          <w:noProof/>
        </w:rPr>
        <w:fldChar w:fldCharType="begin"/>
      </w:r>
      <w:r w:rsidRPr="00C16BD4">
        <w:rPr>
          <w:noProof/>
        </w:rPr>
        <w:instrText xml:space="preserve"> PAGEREF _Toc198224909 \h </w:instrText>
      </w:r>
      <w:r w:rsidRPr="00C16BD4">
        <w:rPr>
          <w:noProof/>
        </w:rPr>
      </w:r>
      <w:r w:rsidRPr="00C16BD4">
        <w:rPr>
          <w:noProof/>
        </w:rPr>
        <w:fldChar w:fldCharType="separate"/>
      </w:r>
      <w:r w:rsidR="00EE271C">
        <w:rPr>
          <w:noProof/>
        </w:rPr>
        <w:t>10</w:t>
      </w:r>
      <w:r w:rsidRPr="00C16BD4">
        <w:rPr>
          <w:noProof/>
        </w:rPr>
        <w:fldChar w:fldCharType="end"/>
      </w:r>
    </w:p>
    <w:p w14:paraId="731261B9" w14:textId="5D8BC4CD"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2</w:t>
      </w:r>
      <w:r>
        <w:rPr>
          <w:noProof/>
        </w:rPr>
        <w:tab/>
        <w:t>Information about applicant’s designated services</w:t>
      </w:r>
      <w:r w:rsidRPr="00C16BD4">
        <w:rPr>
          <w:noProof/>
        </w:rPr>
        <w:tab/>
      </w:r>
      <w:r w:rsidRPr="00C16BD4">
        <w:rPr>
          <w:noProof/>
        </w:rPr>
        <w:fldChar w:fldCharType="begin"/>
      </w:r>
      <w:r w:rsidRPr="00C16BD4">
        <w:rPr>
          <w:noProof/>
        </w:rPr>
        <w:instrText xml:space="preserve"> PAGEREF _Toc198224910 \h </w:instrText>
      </w:r>
      <w:r w:rsidRPr="00C16BD4">
        <w:rPr>
          <w:noProof/>
        </w:rPr>
      </w:r>
      <w:r w:rsidRPr="00C16BD4">
        <w:rPr>
          <w:noProof/>
        </w:rPr>
        <w:fldChar w:fldCharType="separate"/>
      </w:r>
      <w:r w:rsidR="00EE271C">
        <w:rPr>
          <w:noProof/>
        </w:rPr>
        <w:t>10</w:t>
      </w:r>
      <w:r w:rsidRPr="00C16BD4">
        <w:rPr>
          <w:noProof/>
        </w:rPr>
        <w:fldChar w:fldCharType="end"/>
      </w:r>
    </w:p>
    <w:p w14:paraId="233BF3CA" w14:textId="54176E0C"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3</w:t>
      </w:r>
      <w:r>
        <w:rPr>
          <w:noProof/>
        </w:rPr>
        <w:tab/>
        <w:t>Information relating to the applicant</w:t>
      </w:r>
      <w:r w:rsidRPr="00C16BD4">
        <w:rPr>
          <w:noProof/>
        </w:rPr>
        <w:tab/>
      </w:r>
      <w:r w:rsidRPr="00C16BD4">
        <w:rPr>
          <w:noProof/>
        </w:rPr>
        <w:fldChar w:fldCharType="begin"/>
      </w:r>
      <w:r w:rsidRPr="00C16BD4">
        <w:rPr>
          <w:noProof/>
        </w:rPr>
        <w:instrText xml:space="preserve"> PAGEREF _Toc198224911 \h </w:instrText>
      </w:r>
      <w:r w:rsidRPr="00C16BD4">
        <w:rPr>
          <w:noProof/>
        </w:rPr>
      </w:r>
      <w:r w:rsidRPr="00C16BD4">
        <w:rPr>
          <w:noProof/>
        </w:rPr>
        <w:fldChar w:fldCharType="separate"/>
      </w:r>
      <w:r w:rsidR="00EE271C">
        <w:rPr>
          <w:noProof/>
        </w:rPr>
        <w:t>11</w:t>
      </w:r>
      <w:r w:rsidRPr="00C16BD4">
        <w:rPr>
          <w:noProof/>
        </w:rPr>
        <w:fldChar w:fldCharType="end"/>
      </w:r>
    </w:p>
    <w:p w14:paraId="4E045058" w14:textId="01D9B45E"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4</w:t>
      </w:r>
      <w:r>
        <w:rPr>
          <w:noProof/>
        </w:rPr>
        <w:tab/>
        <w:t>Information about the person completing the application and declaration</w:t>
      </w:r>
      <w:r w:rsidRPr="00C16BD4">
        <w:rPr>
          <w:noProof/>
        </w:rPr>
        <w:tab/>
      </w:r>
      <w:r w:rsidRPr="00C16BD4">
        <w:rPr>
          <w:noProof/>
        </w:rPr>
        <w:fldChar w:fldCharType="begin"/>
      </w:r>
      <w:r w:rsidRPr="00C16BD4">
        <w:rPr>
          <w:noProof/>
        </w:rPr>
        <w:instrText xml:space="preserve"> PAGEREF _Toc198224912 \h </w:instrText>
      </w:r>
      <w:r w:rsidRPr="00C16BD4">
        <w:rPr>
          <w:noProof/>
        </w:rPr>
      </w:r>
      <w:r w:rsidRPr="00C16BD4">
        <w:rPr>
          <w:noProof/>
        </w:rPr>
        <w:fldChar w:fldCharType="separate"/>
      </w:r>
      <w:r w:rsidR="00EE271C">
        <w:rPr>
          <w:noProof/>
        </w:rPr>
        <w:t>13</w:t>
      </w:r>
      <w:r w:rsidRPr="00C16BD4">
        <w:rPr>
          <w:noProof/>
        </w:rPr>
        <w:fldChar w:fldCharType="end"/>
      </w:r>
    </w:p>
    <w:p w14:paraId="168B1025" w14:textId="649FA64B"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2—Correction and removal of enrolment details</w:t>
      </w:r>
      <w:r w:rsidRPr="00C16BD4">
        <w:rPr>
          <w:b w:val="0"/>
          <w:noProof/>
          <w:sz w:val="18"/>
        </w:rPr>
        <w:tab/>
      </w:r>
      <w:r w:rsidRPr="00C16BD4">
        <w:rPr>
          <w:b w:val="0"/>
          <w:noProof/>
          <w:sz w:val="18"/>
        </w:rPr>
        <w:fldChar w:fldCharType="begin"/>
      </w:r>
      <w:r w:rsidRPr="00C16BD4">
        <w:rPr>
          <w:b w:val="0"/>
          <w:noProof/>
          <w:sz w:val="18"/>
        </w:rPr>
        <w:instrText xml:space="preserve"> PAGEREF _Toc198224913 \h </w:instrText>
      </w:r>
      <w:r w:rsidRPr="00C16BD4">
        <w:rPr>
          <w:b w:val="0"/>
          <w:noProof/>
          <w:sz w:val="18"/>
        </w:rPr>
      </w:r>
      <w:r w:rsidRPr="00C16BD4">
        <w:rPr>
          <w:b w:val="0"/>
          <w:noProof/>
          <w:sz w:val="18"/>
        </w:rPr>
        <w:fldChar w:fldCharType="separate"/>
      </w:r>
      <w:r w:rsidR="00EE271C">
        <w:rPr>
          <w:b w:val="0"/>
          <w:noProof/>
          <w:sz w:val="18"/>
        </w:rPr>
        <w:t>14</w:t>
      </w:r>
      <w:r w:rsidRPr="00C16BD4">
        <w:rPr>
          <w:b w:val="0"/>
          <w:noProof/>
          <w:sz w:val="18"/>
        </w:rPr>
        <w:fldChar w:fldCharType="end"/>
      </w:r>
    </w:p>
    <w:p w14:paraId="6FF71C8D" w14:textId="417D7381"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5</w:t>
      </w:r>
      <w:r>
        <w:rPr>
          <w:noProof/>
        </w:rPr>
        <w:tab/>
        <w:t>Correction of entries in the Reporting Entities Roll</w:t>
      </w:r>
      <w:r w:rsidRPr="00C16BD4">
        <w:rPr>
          <w:noProof/>
        </w:rPr>
        <w:tab/>
      </w:r>
      <w:r w:rsidRPr="00C16BD4">
        <w:rPr>
          <w:noProof/>
        </w:rPr>
        <w:fldChar w:fldCharType="begin"/>
      </w:r>
      <w:r w:rsidRPr="00C16BD4">
        <w:rPr>
          <w:noProof/>
        </w:rPr>
        <w:instrText xml:space="preserve"> PAGEREF _Toc198224914 \h </w:instrText>
      </w:r>
      <w:r w:rsidRPr="00C16BD4">
        <w:rPr>
          <w:noProof/>
        </w:rPr>
      </w:r>
      <w:r w:rsidRPr="00C16BD4">
        <w:rPr>
          <w:noProof/>
        </w:rPr>
        <w:fldChar w:fldCharType="separate"/>
      </w:r>
      <w:r w:rsidR="00EE271C">
        <w:rPr>
          <w:noProof/>
        </w:rPr>
        <w:t>14</w:t>
      </w:r>
      <w:r w:rsidRPr="00C16BD4">
        <w:rPr>
          <w:noProof/>
        </w:rPr>
        <w:fldChar w:fldCharType="end"/>
      </w:r>
    </w:p>
    <w:p w14:paraId="760F4781" w14:textId="158B2F9D"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6</w:t>
      </w:r>
      <w:r>
        <w:rPr>
          <w:noProof/>
        </w:rPr>
        <w:tab/>
        <w:t>Removal of name and enrolment details on AUSTRAC CEO’s own initiative</w:t>
      </w:r>
      <w:r w:rsidRPr="00C16BD4">
        <w:rPr>
          <w:noProof/>
        </w:rPr>
        <w:tab/>
      </w:r>
      <w:r w:rsidRPr="00C16BD4">
        <w:rPr>
          <w:noProof/>
        </w:rPr>
        <w:fldChar w:fldCharType="begin"/>
      </w:r>
      <w:r w:rsidRPr="00C16BD4">
        <w:rPr>
          <w:noProof/>
        </w:rPr>
        <w:instrText xml:space="preserve"> PAGEREF _Toc198224915 \h </w:instrText>
      </w:r>
      <w:r w:rsidRPr="00C16BD4">
        <w:rPr>
          <w:noProof/>
        </w:rPr>
      </w:r>
      <w:r w:rsidRPr="00C16BD4">
        <w:rPr>
          <w:noProof/>
        </w:rPr>
        <w:fldChar w:fldCharType="separate"/>
      </w:r>
      <w:r w:rsidR="00EE271C">
        <w:rPr>
          <w:noProof/>
        </w:rPr>
        <w:t>14</w:t>
      </w:r>
      <w:r w:rsidRPr="00C16BD4">
        <w:rPr>
          <w:noProof/>
        </w:rPr>
        <w:fldChar w:fldCharType="end"/>
      </w:r>
    </w:p>
    <w:p w14:paraId="43370A7D" w14:textId="16EB94BA"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7</w:t>
      </w:r>
      <w:r>
        <w:rPr>
          <w:noProof/>
        </w:rPr>
        <w:tab/>
        <w:t>Request to remove entry from Reporting Entities Roll—required information</w:t>
      </w:r>
      <w:r w:rsidRPr="00C16BD4">
        <w:rPr>
          <w:noProof/>
        </w:rPr>
        <w:tab/>
      </w:r>
      <w:r w:rsidRPr="00C16BD4">
        <w:rPr>
          <w:noProof/>
        </w:rPr>
        <w:fldChar w:fldCharType="begin"/>
      </w:r>
      <w:r w:rsidRPr="00C16BD4">
        <w:rPr>
          <w:noProof/>
        </w:rPr>
        <w:instrText xml:space="preserve"> PAGEREF _Toc198224916 \h </w:instrText>
      </w:r>
      <w:r w:rsidRPr="00C16BD4">
        <w:rPr>
          <w:noProof/>
        </w:rPr>
      </w:r>
      <w:r w:rsidRPr="00C16BD4">
        <w:rPr>
          <w:noProof/>
        </w:rPr>
        <w:fldChar w:fldCharType="separate"/>
      </w:r>
      <w:r w:rsidR="00EE271C">
        <w:rPr>
          <w:noProof/>
        </w:rPr>
        <w:t>14</w:t>
      </w:r>
      <w:r w:rsidRPr="00C16BD4">
        <w:rPr>
          <w:noProof/>
        </w:rPr>
        <w:fldChar w:fldCharType="end"/>
      </w:r>
    </w:p>
    <w:p w14:paraId="319A232B" w14:textId="585D1C10"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3—Changes in enrolment details</w:t>
      </w:r>
      <w:r w:rsidRPr="00C16BD4">
        <w:rPr>
          <w:b w:val="0"/>
          <w:noProof/>
          <w:sz w:val="18"/>
        </w:rPr>
        <w:tab/>
      </w:r>
      <w:r w:rsidRPr="00C16BD4">
        <w:rPr>
          <w:b w:val="0"/>
          <w:noProof/>
          <w:sz w:val="18"/>
        </w:rPr>
        <w:fldChar w:fldCharType="begin"/>
      </w:r>
      <w:r w:rsidRPr="00C16BD4">
        <w:rPr>
          <w:b w:val="0"/>
          <w:noProof/>
          <w:sz w:val="18"/>
        </w:rPr>
        <w:instrText xml:space="preserve"> PAGEREF _Toc198224917 \h </w:instrText>
      </w:r>
      <w:r w:rsidRPr="00C16BD4">
        <w:rPr>
          <w:b w:val="0"/>
          <w:noProof/>
          <w:sz w:val="18"/>
        </w:rPr>
      </w:r>
      <w:r w:rsidRPr="00C16BD4">
        <w:rPr>
          <w:b w:val="0"/>
          <w:noProof/>
          <w:sz w:val="18"/>
        </w:rPr>
        <w:fldChar w:fldCharType="separate"/>
      </w:r>
      <w:r w:rsidR="00EE271C">
        <w:rPr>
          <w:b w:val="0"/>
          <w:noProof/>
          <w:sz w:val="18"/>
        </w:rPr>
        <w:t>15</w:t>
      </w:r>
      <w:r w:rsidRPr="00C16BD4">
        <w:rPr>
          <w:b w:val="0"/>
          <w:noProof/>
          <w:sz w:val="18"/>
        </w:rPr>
        <w:fldChar w:fldCharType="end"/>
      </w:r>
    </w:p>
    <w:p w14:paraId="01440696" w14:textId="35637C41"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8</w:t>
      </w:r>
      <w:r>
        <w:rPr>
          <w:noProof/>
        </w:rPr>
        <w:tab/>
        <w:t>Changes in enrolment details to be advised</w:t>
      </w:r>
      <w:r w:rsidRPr="00C16BD4">
        <w:rPr>
          <w:noProof/>
        </w:rPr>
        <w:tab/>
      </w:r>
      <w:r w:rsidRPr="00C16BD4">
        <w:rPr>
          <w:noProof/>
        </w:rPr>
        <w:fldChar w:fldCharType="begin"/>
      </w:r>
      <w:r w:rsidRPr="00C16BD4">
        <w:rPr>
          <w:noProof/>
        </w:rPr>
        <w:instrText xml:space="preserve"> PAGEREF _Toc198224918 \h </w:instrText>
      </w:r>
      <w:r w:rsidRPr="00C16BD4">
        <w:rPr>
          <w:noProof/>
        </w:rPr>
      </w:r>
      <w:r w:rsidRPr="00C16BD4">
        <w:rPr>
          <w:noProof/>
        </w:rPr>
        <w:fldChar w:fldCharType="separate"/>
      </w:r>
      <w:r w:rsidR="00EE271C">
        <w:rPr>
          <w:noProof/>
        </w:rPr>
        <w:t>15</w:t>
      </w:r>
      <w:r w:rsidRPr="00C16BD4">
        <w:rPr>
          <w:noProof/>
        </w:rPr>
        <w:fldChar w:fldCharType="end"/>
      </w:r>
    </w:p>
    <w:p w14:paraId="29BD536E" w14:textId="2ECCE628" w:rsidR="00C16BD4" w:rsidRDefault="00C16BD4">
      <w:pPr>
        <w:pStyle w:val="TOC2"/>
        <w:rPr>
          <w:rFonts w:asciiTheme="minorHAnsi" w:eastAsiaTheme="minorEastAsia" w:hAnsiTheme="minorHAnsi" w:cstheme="minorBidi"/>
          <w:b w:val="0"/>
          <w:noProof/>
          <w:kern w:val="2"/>
          <w:szCs w:val="24"/>
          <w14:ligatures w14:val="standardContextual"/>
        </w:rPr>
      </w:pPr>
      <w:r>
        <w:rPr>
          <w:noProof/>
        </w:rPr>
        <w:t>Part 3—Registration</w:t>
      </w:r>
      <w:r w:rsidRPr="00C16BD4">
        <w:rPr>
          <w:b w:val="0"/>
          <w:noProof/>
          <w:sz w:val="18"/>
        </w:rPr>
        <w:tab/>
      </w:r>
      <w:r w:rsidRPr="00C16BD4">
        <w:rPr>
          <w:b w:val="0"/>
          <w:noProof/>
          <w:sz w:val="18"/>
        </w:rPr>
        <w:fldChar w:fldCharType="begin"/>
      </w:r>
      <w:r w:rsidRPr="00C16BD4">
        <w:rPr>
          <w:b w:val="0"/>
          <w:noProof/>
          <w:sz w:val="18"/>
        </w:rPr>
        <w:instrText xml:space="preserve"> PAGEREF _Toc198224919 \h </w:instrText>
      </w:r>
      <w:r w:rsidRPr="00C16BD4">
        <w:rPr>
          <w:b w:val="0"/>
          <w:noProof/>
          <w:sz w:val="18"/>
        </w:rPr>
      </w:r>
      <w:r w:rsidRPr="00C16BD4">
        <w:rPr>
          <w:b w:val="0"/>
          <w:noProof/>
          <w:sz w:val="18"/>
        </w:rPr>
        <w:fldChar w:fldCharType="separate"/>
      </w:r>
      <w:r w:rsidR="00EE271C">
        <w:rPr>
          <w:b w:val="0"/>
          <w:noProof/>
          <w:sz w:val="18"/>
        </w:rPr>
        <w:t>16</w:t>
      </w:r>
      <w:r w:rsidRPr="00C16BD4">
        <w:rPr>
          <w:b w:val="0"/>
          <w:noProof/>
          <w:sz w:val="18"/>
        </w:rPr>
        <w:fldChar w:fldCharType="end"/>
      </w:r>
    </w:p>
    <w:p w14:paraId="5F365982" w14:textId="5C64542A"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1—Management of the Remittance Sector Register and the Virtual Asset Service Provider Register</w:t>
      </w:r>
      <w:r w:rsidRPr="00C16BD4">
        <w:rPr>
          <w:b w:val="0"/>
          <w:noProof/>
          <w:sz w:val="18"/>
        </w:rPr>
        <w:tab/>
      </w:r>
      <w:r w:rsidRPr="00C16BD4">
        <w:rPr>
          <w:b w:val="0"/>
          <w:noProof/>
          <w:sz w:val="18"/>
        </w:rPr>
        <w:fldChar w:fldCharType="begin"/>
      </w:r>
      <w:r w:rsidRPr="00C16BD4">
        <w:rPr>
          <w:b w:val="0"/>
          <w:noProof/>
          <w:sz w:val="18"/>
        </w:rPr>
        <w:instrText xml:space="preserve"> PAGEREF _Toc198224920 \h </w:instrText>
      </w:r>
      <w:r w:rsidRPr="00C16BD4">
        <w:rPr>
          <w:b w:val="0"/>
          <w:noProof/>
          <w:sz w:val="18"/>
        </w:rPr>
      </w:r>
      <w:r w:rsidRPr="00C16BD4">
        <w:rPr>
          <w:b w:val="0"/>
          <w:noProof/>
          <w:sz w:val="18"/>
        </w:rPr>
        <w:fldChar w:fldCharType="separate"/>
      </w:r>
      <w:r w:rsidR="00EE271C">
        <w:rPr>
          <w:b w:val="0"/>
          <w:noProof/>
          <w:sz w:val="18"/>
        </w:rPr>
        <w:t>16</w:t>
      </w:r>
      <w:r w:rsidRPr="00C16BD4">
        <w:rPr>
          <w:b w:val="0"/>
          <w:noProof/>
          <w:sz w:val="18"/>
        </w:rPr>
        <w:fldChar w:fldCharType="end"/>
      </w:r>
    </w:p>
    <w:p w14:paraId="4314BE8F" w14:textId="132FE008"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w:t>
      </w:r>
      <w:r>
        <w:rPr>
          <w:noProof/>
        </w:rPr>
        <w:tab/>
        <w:t>Correction of entries</w:t>
      </w:r>
      <w:r w:rsidRPr="00C16BD4">
        <w:rPr>
          <w:noProof/>
        </w:rPr>
        <w:tab/>
      </w:r>
      <w:r w:rsidRPr="00C16BD4">
        <w:rPr>
          <w:noProof/>
        </w:rPr>
        <w:fldChar w:fldCharType="begin"/>
      </w:r>
      <w:r w:rsidRPr="00C16BD4">
        <w:rPr>
          <w:noProof/>
        </w:rPr>
        <w:instrText xml:space="preserve"> PAGEREF _Toc198224921 \h </w:instrText>
      </w:r>
      <w:r w:rsidRPr="00C16BD4">
        <w:rPr>
          <w:noProof/>
        </w:rPr>
      </w:r>
      <w:r w:rsidRPr="00C16BD4">
        <w:rPr>
          <w:noProof/>
        </w:rPr>
        <w:fldChar w:fldCharType="separate"/>
      </w:r>
      <w:r w:rsidR="00EE271C">
        <w:rPr>
          <w:noProof/>
        </w:rPr>
        <w:t>16</w:t>
      </w:r>
      <w:r w:rsidRPr="00C16BD4">
        <w:rPr>
          <w:noProof/>
        </w:rPr>
        <w:fldChar w:fldCharType="end"/>
      </w:r>
    </w:p>
    <w:p w14:paraId="0DDF4C85" w14:textId="07ECB328"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w:t>
      </w:r>
      <w:r>
        <w:rPr>
          <w:noProof/>
        </w:rPr>
        <w:tab/>
        <w:t>Publication of register information</w:t>
      </w:r>
      <w:r w:rsidRPr="00C16BD4">
        <w:rPr>
          <w:noProof/>
        </w:rPr>
        <w:tab/>
      </w:r>
      <w:r w:rsidRPr="00C16BD4">
        <w:rPr>
          <w:noProof/>
        </w:rPr>
        <w:fldChar w:fldCharType="begin"/>
      </w:r>
      <w:r w:rsidRPr="00C16BD4">
        <w:rPr>
          <w:noProof/>
        </w:rPr>
        <w:instrText xml:space="preserve"> PAGEREF _Toc198224922 \h </w:instrText>
      </w:r>
      <w:r w:rsidRPr="00C16BD4">
        <w:rPr>
          <w:noProof/>
        </w:rPr>
      </w:r>
      <w:r w:rsidRPr="00C16BD4">
        <w:rPr>
          <w:noProof/>
        </w:rPr>
        <w:fldChar w:fldCharType="separate"/>
      </w:r>
      <w:r w:rsidR="00EE271C">
        <w:rPr>
          <w:noProof/>
        </w:rPr>
        <w:t>16</w:t>
      </w:r>
      <w:r w:rsidRPr="00C16BD4">
        <w:rPr>
          <w:noProof/>
        </w:rPr>
        <w:fldChar w:fldCharType="end"/>
      </w:r>
    </w:p>
    <w:p w14:paraId="4A873241" w14:textId="3E79C56E"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2—Information requirements for registration applications</w:t>
      </w:r>
      <w:r w:rsidRPr="00C16BD4">
        <w:rPr>
          <w:b w:val="0"/>
          <w:noProof/>
          <w:sz w:val="18"/>
        </w:rPr>
        <w:tab/>
      </w:r>
      <w:r w:rsidRPr="00C16BD4">
        <w:rPr>
          <w:b w:val="0"/>
          <w:noProof/>
          <w:sz w:val="18"/>
        </w:rPr>
        <w:fldChar w:fldCharType="begin"/>
      </w:r>
      <w:r w:rsidRPr="00C16BD4">
        <w:rPr>
          <w:b w:val="0"/>
          <w:noProof/>
          <w:sz w:val="18"/>
        </w:rPr>
        <w:instrText xml:space="preserve"> PAGEREF _Toc198224923 \h </w:instrText>
      </w:r>
      <w:r w:rsidRPr="00C16BD4">
        <w:rPr>
          <w:b w:val="0"/>
          <w:noProof/>
          <w:sz w:val="18"/>
        </w:rPr>
      </w:r>
      <w:r w:rsidRPr="00C16BD4">
        <w:rPr>
          <w:b w:val="0"/>
          <w:noProof/>
          <w:sz w:val="18"/>
        </w:rPr>
        <w:fldChar w:fldCharType="separate"/>
      </w:r>
      <w:r w:rsidR="00EE271C">
        <w:rPr>
          <w:b w:val="0"/>
          <w:noProof/>
          <w:sz w:val="18"/>
        </w:rPr>
        <w:t>16</w:t>
      </w:r>
      <w:r w:rsidRPr="00C16BD4">
        <w:rPr>
          <w:b w:val="0"/>
          <w:noProof/>
          <w:sz w:val="18"/>
        </w:rPr>
        <w:fldChar w:fldCharType="end"/>
      </w:r>
    </w:p>
    <w:p w14:paraId="3F9FBA56" w14:textId="40B73E8A"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3</w:t>
      </w:r>
      <w:r>
        <w:rPr>
          <w:noProof/>
        </w:rPr>
        <w:tab/>
        <w:t>Purpose of this Division</w:t>
      </w:r>
      <w:r w:rsidRPr="00C16BD4">
        <w:rPr>
          <w:noProof/>
        </w:rPr>
        <w:tab/>
      </w:r>
      <w:r w:rsidRPr="00C16BD4">
        <w:rPr>
          <w:noProof/>
        </w:rPr>
        <w:fldChar w:fldCharType="begin"/>
      </w:r>
      <w:r w:rsidRPr="00C16BD4">
        <w:rPr>
          <w:noProof/>
        </w:rPr>
        <w:instrText xml:space="preserve"> PAGEREF _Toc198224924 \h </w:instrText>
      </w:r>
      <w:r w:rsidRPr="00C16BD4">
        <w:rPr>
          <w:noProof/>
        </w:rPr>
      </w:r>
      <w:r w:rsidRPr="00C16BD4">
        <w:rPr>
          <w:noProof/>
        </w:rPr>
        <w:fldChar w:fldCharType="separate"/>
      </w:r>
      <w:r w:rsidR="00EE271C">
        <w:rPr>
          <w:noProof/>
        </w:rPr>
        <w:t>16</w:t>
      </w:r>
      <w:r w:rsidRPr="00C16BD4">
        <w:rPr>
          <w:noProof/>
        </w:rPr>
        <w:fldChar w:fldCharType="end"/>
      </w:r>
    </w:p>
    <w:p w14:paraId="6DBC3D19" w14:textId="4971EDC0"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4</w:t>
      </w:r>
      <w:r>
        <w:rPr>
          <w:noProof/>
        </w:rPr>
        <w:tab/>
        <w:t>Application—general information</w:t>
      </w:r>
      <w:r w:rsidRPr="00C16BD4">
        <w:rPr>
          <w:noProof/>
        </w:rPr>
        <w:tab/>
      </w:r>
      <w:r w:rsidRPr="00C16BD4">
        <w:rPr>
          <w:noProof/>
        </w:rPr>
        <w:fldChar w:fldCharType="begin"/>
      </w:r>
      <w:r w:rsidRPr="00C16BD4">
        <w:rPr>
          <w:noProof/>
        </w:rPr>
        <w:instrText xml:space="preserve"> PAGEREF _Toc198224925 \h </w:instrText>
      </w:r>
      <w:r w:rsidRPr="00C16BD4">
        <w:rPr>
          <w:noProof/>
        </w:rPr>
      </w:r>
      <w:r w:rsidRPr="00C16BD4">
        <w:rPr>
          <w:noProof/>
        </w:rPr>
        <w:fldChar w:fldCharType="separate"/>
      </w:r>
      <w:r w:rsidR="00EE271C">
        <w:rPr>
          <w:noProof/>
        </w:rPr>
        <w:t>17</w:t>
      </w:r>
      <w:r w:rsidRPr="00C16BD4">
        <w:rPr>
          <w:noProof/>
        </w:rPr>
        <w:fldChar w:fldCharType="end"/>
      </w:r>
    </w:p>
    <w:p w14:paraId="6980C956" w14:textId="42E8EC44"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5</w:t>
      </w:r>
      <w:r>
        <w:rPr>
          <w:noProof/>
        </w:rPr>
        <w:tab/>
        <w:t>Information relating to ML/TF risks</w:t>
      </w:r>
      <w:r w:rsidRPr="00C16BD4">
        <w:rPr>
          <w:noProof/>
        </w:rPr>
        <w:tab/>
      </w:r>
      <w:r w:rsidRPr="00C16BD4">
        <w:rPr>
          <w:noProof/>
        </w:rPr>
        <w:fldChar w:fldCharType="begin"/>
      </w:r>
      <w:r w:rsidRPr="00C16BD4">
        <w:rPr>
          <w:noProof/>
        </w:rPr>
        <w:instrText xml:space="preserve"> PAGEREF _Toc198224926 \h </w:instrText>
      </w:r>
      <w:r w:rsidRPr="00C16BD4">
        <w:rPr>
          <w:noProof/>
        </w:rPr>
      </w:r>
      <w:r w:rsidRPr="00C16BD4">
        <w:rPr>
          <w:noProof/>
        </w:rPr>
        <w:fldChar w:fldCharType="separate"/>
      </w:r>
      <w:r w:rsidR="00EE271C">
        <w:rPr>
          <w:noProof/>
        </w:rPr>
        <w:t>19</w:t>
      </w:r>
      <w:r w:rsidRPr="00C16BD4">
        <w:rPr>
          <w:noProof/>
        </w:rPr>
        <w:fldChar w:fldCharType="end"/>
      </w:r>
    </w:p>
    <w:p w14:paraId="0CB8DFC2" w14:textId="703F1DFE"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6</w:t>
      </w:r>
      <w:r>
        <w:rPr>
          <w:noProof/>
        </w:rPr>
        <w:tab/>
        <w:t>Information relating to AML/CTF policies</w:t>
      </w:r>
      <w:r w:rsidRPr="00C16BD4">
        <w:rPr>
          <w:noProof/>
        </w:rPr>
        <w:tab/>
      </w:r>
      <w:r w:rsidRPr="00C16BD4">
        <w:rPr>
          <w:noProof/>
        </w:rPr>
        <w:fldChar w:fldCharType="begin"/>
      </w:r>
      <w:r w:rsidRPr="00C16BD4">
        <w:rPr>
          <w:noProof/>
        </w:rPr>
        <w:instrText xml:space="preserve"> PAGEREF _Toc198224927 \h </w:instrText>
      </w:r>
      <w:r w:rsidRPr="00C16BD4">
        <w:rPr>
          <w:noProof/>
        </w:rPr>
      </w:r>
      <w:r w:rsidRPr="00C16BD4">
        <w:rPr>
          <w:noProof/>
        </w:rPr>
        <w:fldChar w:fldCharType="separate"/>
      </w:r>
      <w:r w:rsidR="00EE271C">
        <w:rPr>
          <w:noProof/>
        </w:rPr>
        <w:t>19</w:t>
      </w:r>
      <w:r w:rsidRPr="00C16BD4">
        <w:rPr>
          <w:noProof/>
        </w:rPr>
        <w:fldChar w:fldCharType="end"/>
      </w:r>
    </w:p>
    <w:p w14:paraId="2B6CBE17" w14:textId="6EE8A4B8"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7</w:t>
      </w:r>
      <w:r>
        <w:rPr>
          <w:noProof/>
        </w:rPr>
        <w:tab/>
        <w:t>Information relating to accounts with financial institutions</w:t>
      </w:r>
      <w:r w:rsidRPr="00C16BD4">
        <w:rPr>
          <w:noProof/>
        </w:rPr>
        <w:tab/>
      </w:r>
      <w:r w:rsidRPr="00C16BD4">
        <w:rPr>
          <w:noProof/>
        </w:rPr>
        <w:fldChar w:fldCharType="begin"/>
      </w:r>
      <w:r w:rsidRPr="00C16BD4">
        <w:rPr>
          <w:noProof/>
        </w:rPr>
        <w:instrText xml:space="preserve"> PAGEREF _Toc198224928 \h </w:instrText>
      </w:r>
      <w:r w:rsidRPr="00C16BD4">
        <w:rPr>
          <w:noProof/>
        </w:rPr>
      </w:r>
      <w:r w:rsidRPr="00C16BD4">
        <w:rPr>
          <w:noProof/>
        </w:rPr>
        <w:fldChar w:fldCharType="separate"/>
      </w:r>
      <w:r w:rsidR="00EE271C">
        <w:rPr>
          <w:noProof/>
        </w:rPr>
        <w:t>20</w:t>
      </w:r>
      <w:r w:rsidRPr="00C16BD4">
        <w:rPr>
          <w:noProof/>
        </w:rPr>
        <w:fldChar w:fldCharType="end"/>
      </w:r>
    </w:p>
    <w:p w14:paraId="05C53D12" w14:textId="2DEB053F"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8</w:t>
      </w:r>
      <w:r>
        <w:rPr>
          <w:noProof/>
        </w:rPr>
        <w:tab/>
        <w:t>Information relating to other persons assisting</w:t>
      </w:r>
      <w:r w:rsidRPr="00C16BD4">
        <w:rPr>
          <w:noProof/>
        </w:rPr>
        <w:tab/>
      </w:r>
      <w:r w:rsidRPr="00C16BD4">
        <w:rPr>
          <w:noProof/>
        </w:rPr>
        <w:fldChar w:fldCharType="begin"/>
      </w:r>
      <w:r w:rsidRPr="00C16BD4">
        <w:rPr>
          <w:noProof/>
        </w:rPr>
        <w:instrText xml:space="preserve"> PAGEREF _Toc198224929 \h </w:instrText>
      </w:r>
      <w:r w:rsidRPr="00C16BD4">
        <w:rPr>
          <w:noProof/>
        </w:rPr>
      </w:r>
      <w:r w:rsidRPr="00C16BD4">
        <w:rPr>
          <w:noProof/>
        </w:rPr>
        <w:fldChar w:fldCharType="separate"/>
      </w:r>
      <w:r w:rsidR="00EE271C">
        <w:rPr>
          <w:noProof/>
        </w:rPr>
        <w:t>20</w:t>
      </w:r>
      <w:r w:rsidRPr="00C16BD4">
        <w:rPr>
          <w:noProof/>
        </w:rPr>
        <w:fldChar w:fldCharType="end"/>
      </w:r>
    </w:p>
    <w:p w14:paraId="7AC47E4D" w14:textId="0A87167D"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9</w:t>
      </w:r>
      <w:r>
        <w:rPr>
          <w:noProof/>
        </w:rPr>
        <w:tab/>
        <w:t>Information relating to key personnel and past unlawful activity etc.</w:t>
      </w:r>
      <w:r w:rsidRPr="00C16BD4">
        <w:rPr>
          <w:noProof/>
        </w:rPr>
        <w:tab/>
      </w:r>
      <w:r w:rsidRPr="00C16BD4">
        <w:rPr>
          <w:noProof/>
        </w:rPr>
        <w:fldChar w:fldCharType="begin"/>
      </w:r>
      <w:r w:rsidRPr="00C16BD4">
        <w:rPr>
          <w:noProof/>
        </w:rPr>
        <w:instrText xml:space="preserve"> PAGEREF _Toc198224930 \h </w:instrText>
      </w:r>
      <w:r w:rsidRPr="00C16BD4">
        <w:rPr>
          <w:noProof/>
        </w:rPr>
      </w:r>
      <w:r w:rsidRPr="00C16BD4">
        <w:rPr>
          <w:noProof/>
        </w:rPr>
        <w:fldChar w:fldCharType="separate"/>
      </w:r>
      <w:r w:rsidR="00EE271C">
        <w:rPr>
          <w:noProof/>
        </w:rPr>
        <w:t>21</w:t>
      </w:r>
      <w:r w:rsidRPr="00C16BD4">
        <w:rPr>
          <w:noProof/>
        </w:rPr>
        <w:fldChar w:fldCharType="end"/>
      </w:r>
    </w:p>
    <w:p w14:paraId="5F2E5AF7" w14:textId="0BE8335C"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10</w:t>
      </w:r>
      <w:r>
        <w:rPr>
          <w:noProof/>
        </w:rPr>
        <w:tab/>
        <w:t>Additional requirements for application by remittance network provider for registration of an affiliate</w:t>
      </w:r>
      <w:r w:rsidRPr="00C16BD4">
        <w:rPr>
          <w:noProof/>
        </w:rPr>
        <w:tab/>
      </w:r>
      <w:r w:rsidRPr="00C16BD4">
        <w:rPr>
          <w:noProof/>
        </w:rPr>
        <w:fldChar w:fldCharType="begin"/>
      </w:r>
      <w:r w:rsidRPr="00C16BD4">
        <w:rPr>
          <w:noProof/>
        </w:rPr>
        <w:instrText xml:space="preserve"> PAGEREF _Toc198224931 \h </w:instrText>
      </w:r>
      <w:r w:rsidRPr="00C16BD4">
        <w:rPr>
          <w:noProof/>
        </w:rPr>
      </w:r>
      <w:r w:rsidRPr="00C16BD4">
        <w:rPr>
          <w:noProof/>
        </w:rPr>
        <w:fldChar w:fldCharType="separate"/>
      </w:r>
      <w:r w:rsidR="00EE271C">
        <w:rPr>
          <w:noProof/>
        </w:rPr>
        <w:t>22</w:t>
      </w:r>
      <w:r w:rsidRPr="00C16BD4">
        <w:rPr>
          <w:noProof/>
        </w:rPr>
        <w:fldChar w:fldCharType="end"/>
      </w:r>
    </w:p>
    <w:p w14:paraId="10648D7A" w14:textId="389A444B"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11</w:t>
      </w:r>
      <w:r>
        <w:rPr>
          <w:noProof/>
        </w:rPr>
        <w:tab/>
        <w:t>Additional requirements for application by independent remittance dealer for registration as a remittance affiliate</w:t>
      </w:r>
      <w:r w:rsidRPr="00C16BD4">
        <w:rPr>
          <w:noProof/>
        </w:rPr>
        <w:tab/>
      </w:r>
      <w:r w:rsidRPr="00C16BD4">
        <w:rPr>
          <w:noProof/>
        </w:rPr>
        <w:fldChar w:fldCharType="begin"/>
      </w:r>
      <w:r w:rsidRPr="00C16BD4">
        <w:rPr>
          <w:noProof/>
        </w:rPr>
        <w:instrText xml:space="preserve"> PAGEREF _Toc198224932 \h </w:instrText>
      </w:r>
      <w:r w:rsidRPr="00C16BD4">
        <w:rPr>
          <w:noProof/>
        </w:rPr>
      </w:r>
      <w:r w:rsidRPr="00C16BD4">
        <w:rPr>
          <w:noProof/>
        </w:rPr>
        <w:fldChar w:fldCharType="separate"/>
      </w:r>
      <w:r w:rsidR="00EE271C">
        <w:rPr>
          <w:noProof/>
        </w:rPr>
        <w:t>22</w:t>
      </w:r>
      <w:r w:rsidRPr="00C16BD4">
        <w:rPr>
          <w:noProof/>
        </w:rPr>
        <w:fldChar w:fldCharType="end"/>
      </w:r>
    </w:p>
    <w:p w14:paraId="7C942954" w14:textId="1651AAE5"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12</w:t>
      </w:r>
      <w:r>
        <w:rPr>
          <w:noProof/>
        </w:rPr>
        <w:tab/>
        <w:t>Additional requirements for application for registration as an independent remittance dealer or a remittance affiliate of network provider</w:t>
      </w:r>
      <w:r w:rsidRPr="00C16BD4">
        <w:rPr>
          <w:noProof/>
        </w:rPr>
        <w:tab/>
      </w:r>
      <w:r w:rsidRPr="00C16BD4">
        <w:rPr>
          <w:noProof/>
        </w:rPr>
        <w:fldChar w:fldCharType="begin"/>
      </w:r>
      <w:r w:rsidRPr="00C16BD4">
        <w:rPr>
          <w:noProof/>
        </w:rPr>
        <w:instrText xml:space="preserve"> PAGEREF _Toc198224933 \h </w:instrText>
      </w:r>
      <w:r w:rsidRPr="00C16BD4">
        <w:rPr>
          <w:noProof/>
        </w:rPr>
      </w:r>
      <w:r w:rsidRPr="00C16BD4">
        <w:rPr>
          <w:noProof/>
        </w:rPr>
        <w:fldChar w:fldCharType="separate"/>
      </w:r>
      <w:r w:rsidR="00EE271C">
        <w:rPr>
          <w:noProof/>
        </w:rPr>
        <w:t>22</w:t>
      </w:r>
      <w:r w:rsidRPr="00C16BD4">
        <w:rPr>
          <w:noProof/>
        </w:rPr>
        <w:fldChar w:fldCharType="end"/>
      </w:r>
    </w:p>
    <w:p w14:paraId="5B027B91" w14:textId="1B53ECBA"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13</w:t>
      </w:r>
      <w:r>
        <w:rPr>
          <w:noProof/>
        </w:rPr>
        <w:tab/>
        <w:t>Additional requirements for application for registration as a remittance affiliate of network provider</w:t>
      </w:r>
      <w:r w:rsidRPr="00C16BD4">
        <w:rPr>
          <w:noProof/>
        </w:rPr>
        <w:tab/>
      </w:r>
      <w:r w:rsidRPr="00C16BD4">
        <w:rPr>
          <w:noProof/>
        </w:rPr>
        <w:fldChar w:fldCharType="begin"/>
      </w:r>
      <w:r w:rsidRPr="00C16BD4">
        <w:rPr>
          <w:noProof/>
        </w:rPr>
        <w:instrText xml:space="preserve"> PAGEREF _Toc198224934 \h </w:instrText>
      </w:r>
      <w:r w:rsidRPr="00C16BD4">
        <w:rPr>
          <w:noProof/>
        </w:rPr>
      </w:r>
      <w:r w:rsidRPr="00C16BD4">
        <w:rPr>
          <w:noProof/>
        </w:rPr>
        <w:fldChar w:fldCharType="separate"/>
      </w:r>
      <w:r w:rsidR="00EE271C">
        <w:rPr>
          <w:noProof/>
        </w:rPr>
        <w:t>23</w:t>
      </w:r>
      <w:r w:rsidRPr="00C16BD4">
        <w:rPr>
          <w:noProof/>
        </w:rPr>
        <w:fldChar w:fldCharType="end"/>
      </w:r>
    </w:p>
    <w:p w14:paraId="094B53DA" w14:textId="00F160AB"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14</w:t>
      </w:r>
      <w:r>
        <w:rPr>
          <w:noProof/>
        </w:rPr>
        <w:tab/>
        <w:t>Additional requirements for application for registration as a virtual asset service provider</w:t>
      </w:r>
      <w:r w:rsidRPr="00C16BD4">
        <w:rPr>
          <w:noProof/>
        </w:rPr>
        <w:tab/>
      </w:r>
      <w:r w:rsidRPr="00C16BD4">
        <w:rPr>
          <w:noProof/>
        </w:rPr>
        <w:fldChar w:fldCharType="begin"/>
      </w:r>
      <w:r w:rsidRPr="00C16BD4">
        <w:rPr>
          <w:noProof/>
        </w:rPr>
        <w:instrText xml:space="preserve"> PAGEREF _Toc198224935 \h </w:instrText>
      </w:r>
      <w:r w:rsidRPr="00C16BD4">
        <w:rPr>
          <w:noProof/>
        </w:rPr>
      </w:r>
      <w:r w:rsidRPr="00C16BD4">
        <w:rPr>
          <w:noProof/>
        </w:rPr>
        <w:fldChar w:fldCharType="separate"/>
      </w:r>
      <w:r w:rsidR="00EE271C">
        <w:rPr>
          <w:noProof/>
        </w:rPr>
        <w:t>23</w:t>
      </w:r>
      <w:r w:rsidRPr="00C16BD4">
        <w:rPr>
          <w:noProof/>
        </w:rPr>
        <w:fldChar w:fldCharType="end"/>
      </w:r>
    </w:p>
    <w:p w14:paraId="29DC946F" w14:textId="38B252AC"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3—Registration decisions</w:t>
      </w:r>
      <w:r w:rsidRPr="00C16BD4">
        <w:rPr>
          <w:b w:val="0"/>
          <w:noProof/>
          <w:sz w:val="18"/>
        </w:rPr>
        <w:tab/>
      </w:r>
      <w:r w:rsidRPr="00C16BD4">
        <w:rPr>
          <w:b w:val="0"/>
          <w:noProof/>
          <w:sz w:val="18"/>
        </w:rPr>
        <w:fldChar w:fldCharType="begin"/>
      </w:r>
      <w:r w:rsidRPr="00C16BD4">
        <w:rPr>
          <w:b w:val="0"/>
          <w:noProof/>
          <w:sz w:val="18"/>
        </w:rPr>
        <w:instrText xml:space="preserve"> PAGEREF _Toc198224936 \h </w:instrText>
      </w:r>
      <w:r w:rsidRPr="00C16BD4">
        <w:rPr>
          <w:b w:val="0"/>
          <w:noProof/>
          <w:sz w:val="18"/>
        </w:rPr>
      </w:r>
      <w:r w:rsidRPr="00C16BD4">
        <w:rPr>
          <w:b w:val="0"/>
          <w:noProof/>
          <w:sz w:val="18"/>
        </w:rPr>
        <w:fldChar w:fldCharType="separate"/>
      </w:r>
      <w:r w:rsidR="00EE271C">
        <w:rPr>
          <w:b w:val="0"/>
          <w:noProof/>
          <w:sz w:val="18"/>
        </w:rPr>
        <w:t>25</w:t>
      </w:r>
      <w:r w:rsidRPr="00C16BD4">
        <w:rPr>
          <w:b w:val="0"/>
          <w:noProof/>
          <w:sz w:val="18"/>
        </w:rPr>
        <w:fldChar w:fldCharType="end"/>
      </w:r>
    </w:p>
    <w:p w14:paraId="0E372FAF" w14:textId="0A207E57"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15</w:t>
      </w:r>
      <w:r>
        <w:rPr>
          <w:noProof/>
        </w:rPr>
        <w:tab/>
        <w:t>Registration decisions—matters to which AUSTRAC CEO must have regard</w:t>
      </w:r>
      <w:r w:rsidRPr="00C16BD4">
        <w:rPr>
          <w:noProof/>
        </w:rPr>
        <w:tab/>
      </w:r>
      <w:r w:rsidRPr="00C16BD4">
        <w:rPr>
          <w:noProof/>
        </w:rPr>
        <w:fldChar w:fldCharType="begin"/>
      </w:r>
      <w:r w:rsidRPr="00C16BD4">
        <w:rPr>
          <w:noProof/>
        </w:rPr>
        <w:instrText xml:space="preserve"> PAGEREF _Toc198224937 \h </w:instrText>
      </w:r>
      <w:r w:rsidRPr="00C16BD4">
        <w:rPr>
          <w:noProof/>
        </w:rPr>
      </w:r>
      <w:r w:rsidRPr="00C16BD4">
        <w:rPr>
          <w:noProof/>
        </w:rPr>
        <w:fldChar w:fldCharType="separate"/>
      </w:r>
      <w:r w:rsidR="00EE271C">
        <w:rPr>
          <w:noProof/>
        </w:rPr>
        <w:t>25</w:t>
      </w:r>
      <w:r w:rsidRPr="00C16BD4">
        <w:rPr>
          <w:noProof/>
        </w:rPr>
        <w:fldChar w:fldCharType="end"/>
      </w:r>
    </w:p>
    <w:p w14:paraId="762CF961" w14:textId="380EEDA8"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4—Suspension of registration</w:t>
      </w:r>
      <w:r w:rsidRPr="00C16BD4">
        <w:rPr>
          <w:b w:val="0"/>
          <w:noProof/>
          <w:sz w:val="18"/>
        </w:rPr>
        <w:tab/>
      </w:r>
      <w:r w:rsidRPr="00C16BD4">
        <w:rPr>
          <w:b w:val="0"/>
          <w:noProof/>
          <w:sz w:val="18"/>
        </w:rPr>
        <w:fldChar w:fldCharType="begin"/>
      </w:r>
      <w:r w:rsidRPr="00C16BD4">
        <w:rPr>
          <w:b w:val="0"/>
          <w:noProof/>
          <w:sz w:val="18"/>
        </w:rPr>
        <w:instrText xml:space="preserve"> PAGEREF _Toc198224938 \h </w:instrText>
      </w:r>
      <w:r w:rsidRPr="00C16BD4">
        <w:rPr>
          <w:b w:val="0"/>
          <w:noProof/>
          <w:sz w:val="18"/>
        </w:rPr>
      </w:r>
      <w:r w:rsidRPr="00C16BD4">
        <w:rPr>
          <w:b w:val="0"/>
          <w:noProof/>
          <w:sz w:val="18"/>
        </w:rPr>
        <w:fldChar w:fldCharType="separate"/>
      </w:r>
      <w:r w:rsidR="00EE271C">
        <w:rPr>
          <w:b w:val="0"/>
          <w:noProof/>
          <w:sz w:val="18"/>
        </w:rPr>
        <w:t>26</w:t>
      </w:r>
      <w:r w:rsidRPr="00C16BD4">
        <w:rPr>
          <w:b w:val="0"/>
          <w:noProof/>
          <w:sz w:val="18"/>
        </w:rPr>
        <w:fldChar w:fldCharType="end"/>
      </w:r>
    </w:p>
    <w:p w14:paraId="3667EFE8" w14:textId="756BC405"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16</w:t>
      </w:r>
      <w:r>
        <w:rPr>
          <w:noProof/>
        </w:rPr>
        <w:tab/>
        <w:t>Purpose of this Division</w:t>
      </w:r>
      <w:r w:rsidRPr="00C16BD4">
        <w:rPr>
          <w:noProof/>
        </w:rPr>
        <w:tab/>
      </w:r>
      <w:r w:rsidRPr="00C16BD4">
        <w:rPr>
          <w:noProof/>
        </w:rPr>
        <w:fldChar w:fldCharType="begin"/>
      </w:r>
      <w:r w:rsidRPr="00C16BD4">
        <w:rPr>
          <w:noProof/>
        </w:rPr>
        <w:instrText xml:space="preserve"> PAGEREF _Toc198224939 \h </w:instrText>
      </w:r>
      <w:r w:rsidRPr="00C16BD4">
        <w:rPr>
          <w:noProof/>
        </w:rPr>
      </w:r>
      <w:r w:rsidRPr="00C16BD4">
        <w:rPr>
          <w:noProof/>
        </w:rPr>
        <w:fldChar w:fldCharType="separate"/>
      </w:r>
      <w:r w:rsidR="00EE271C">
        <w:rPr>
          <w:noProof/>
        </w:rPr>
        <w:t>26</w:t>
      </w:r>
      <w:r w:rsidRPr="00C16BD4">
        <w:rPr>
          <w:noProof/>
        </w:rPr>
        <w:fldChar w:fldCharType="end"/>
      </w:r>
    </w:p>
    <w:p w14:paraId="4C6B5FE3" w14:textId="77DD09FA"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17</w:t>
      </w:r>
      <w:r>
        <w:rPr>
          <w:noProof/>
        </w:rPr>
        <w:tab/>
        <w:t>Suspension of registration</w:t>
      </w:r>
      <w:r w:rsidRPr="00C16BD4">
        <w:rPr>
          <w:noProof/>
        </w:rPr>
        <w:tab/>
      </w:r>
      <w:r w:rsidRPr="00C16BD4">
        <w:rPr>
          <w:noProof/>
        </w:rPr>
        <w:fldChar w:fldCharType="begin"/>
      </w:r>
      <w:r w:rsidRPr="00C16BD4">
        <w:rPr>
          <w:noProof/>
        </w:rPr>
        <w:instrText xml:space="preserve"> PAGEREF _Toc198224940 \h </w:instrText>
      </w:r>
      <w:r w:rsidRPr="00C16BD4">
        <w:rPr>
          <w:noProof/>
        </w:rPr>
      </w:r>
      <w:r w:rsidRPr="00C16BD4">
        <w:rPr>
          <w:noProof/>
        </w:rPr>
        <w:fldChar w:fldCharType="separate"/>
      </w:r>
      <w:r w:rsidR="00EE271C">
        <w:rPr>
          <w:noProof/>
        </w:rPr>
        <w:t>26</w:t>
      </w:r>
      <w:r w:rsidRPr="00C16BD4">
        <w:rPr>
          <w:noProof/>
        </w:rPr>
        <w:fldChar w:fldCharType="end"/>
      </w:r>
    </w:p>
    <w:p w14:paraId="4E4A61AE" w14:textId="79F3C9E4"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18</w:t>
      </w:r>
      <w:r>
        <w:rPr>
          <w:noProof/>
        </w:rPr>
        <w:tab/>
        <w:t>Effect of suspension—renewal and advising of certain matters</w:t>
      </w:r>
      <w:r w:rsidRPr="00C16BD4">
        <w:rPr>
          <w:noProof/>
        </w:rPr>
        <w:tab/>
      </w:r>
      <w:r w:rsidRPr="00C16BD4">
        <w:rPr>
          <w:noProof/>
        </w:rPr>
        <w:fldChar w:fldCharType="begin"/>
      </w:r>
      <w:r w:rsidRPr="00C16BD4">
        <w:rPr>
          <w:noProof/>
        </w:rPr>
        <w:instrText xml:space="preserve"> PAGEREF _Toc198224941 \h </w:instrText>
      </w:r>
      <w:r w:rsidRPr="00C16BD4">
        <w:rPr>
          <w:noProof/>
        </w:rPr>
      </w:r>
      <w:r w:rsidRPr="00C16BD4">
        <w:rPr>
          <w:noProof/>
        </w:rPr>
        <w:fldChar w:fldCharType="separate"/>
      </w:r>
      <w:r w:rsidR="00EE271C">
        <w:rPr>
          <w:noProof/>
        </w:rPr>
        <w:t>27</w:t>
      </w:r>
      <w:r w:rsidRPr="00C16BD4">
        <w:rPr>
          <w:noProof/>
        </w:rPr>
        <w:fldChar w:fldCharType="end"/>
      </w:r>
    </w:p>
    <w:p w14:paraId="16921E5D" w14:textId="2D638009"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19</w:t>
      </w:r>
      <w:r>
        <w:rPr>
          <w:noProof/>
        </w:rPr>
        <w:tab/>
        <w:t>Period of suspension</w:t>
      </w:r>
      <w:r w:rsidRPr="00C16BD4">
        <w:rPr>
          <w:noProof/>
        </w:rPr>
        <w:tab/>
      </w:r>
      <w:r w:rsidRPr="00C16BD4">
        <w:rPr>
          <w:noProof/>
        </w:rPr>
        <w:fldChar w:fldCharType="begin"/>
      </w:r>
      <w:r w:rsidRPr="00C16BD4">
        <w:rPr>
          <w:noProof/>
        </w:rPr>
        <w:instrText xml:space="preserve"> PAGEREF _Toc198224942 \h </w:instrText>
      </w:r>
      <w:r w:rsidRPr="00C16BD4">
        <w:rPr>
          <w:noProof/>
        </w:rPr>
      </w:r>
      <w:r w:rsidRPr="00C16BD4">
        <w:rPr>
          <w:noProof/>
        </w:rPr>
        <w:fldChar w:fldCharType="separate"/>
      </w:r>
      <w:r w:rsidR="00EE271C">
        <w:rPr>
          <w:noProof/>
        </w:rPr>
        <w:t>27</w:t>
      </w:r>
      <w:r w:rsidRPr="00C16BD4">
        <w:rPr>
          <w:noProof/>
        </w:rPr>
        <w:fldChar w:fldCharType="end"/>
      </w:r>
    </w:p>
    <w:p w14:paraId="7EA39A91" w14:textId="214043CE"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20</w:t>
      </w:r>
      <w:r>
        <w:rPr>
          <w:noProof/>
        </w:rPr>
        <w:tab/>
        <w:t>Notice of suspension decision</w:t>
      </w:r>
      <w:r w:rsidRPr="00C16BD4">
        <w:rPr>
          <w:noProof/>
        </w:rPr>
        <w:tab/>
      </w:r>
      <w:r w:rsidRPr="00C16BD4">
        <w:rPr>
          <w:noProof/>
        </w:rPr>
        <w:fldChar w:fldCharType="begin"/>
      </w:r>
      <w:r w:rsidRPr="00C16BD4">
        <w:rPr>
          <w:noProof/>
        </w:rPr>
        <w:instrText xml:space="preserve"> PAGEREF _Toc198224943 \h </w:instrText>
      </w:r>
      <w:r w:rsidRPr="00C16BD4">
        <w:rPr>
          <w:noProof/>
        </w:rPr>
      </w:r>
      <w:r w:rsidRPr="00C16BD4">
        <w:rPr>
          <w:noProof/>
        </w:rPr>
        <w:fldChar w:fldCharType="separate"/>
      </w:r>
      <w:r w:rsidR="00EE271C">
        <w:rPr>
          <w:noProof/>
        </w:rPr>
        <w:t>27</w:t>
      </w:r>
      <w:r w:rsidRPr="00C16BD4">
        <w:rPr>
          <w:noProof/>
        </w:rPr>
        <w:fldChar w:fldCharType="end"/>
      </w:r>
    </w:p>
    <w:p w14:paraId="656DA323" w14:textId="7FA92402"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21</w:t>
      </w:r>
      <w:r>
        <w:rPr>
          <w:noProof/>
        </w:rPr>
        <w:tab/>
        <w:t>Notice of extension of suspension</w:t>
      </w:r>
      <w:r w:rsidRPr="00C16BD4">
        <w:rPr>
          <w:noProof/>
        </w:rPr>
        <w:tab/>
      </w:r>
      <w:r w:rsidRPr="00C16BD4">
        <w:rPr>
          <w:noProof/>
        </w:rPr>
        <w:fldChar w:fldCharType="begin"/>
      </w:r>
      <w:r w:rsidRPr="00C16BD4">
        <w:rPr>
          <w:noProof/>
        </w:rPr>
        <w:instrText xml:space="preserve"> PAGEREF _Toc198224944 \h </w:instrText>
      </w:r>
      <w:r w:rsidRPr="00C16BD4">
        <w:rPr>
          <w:noProof/>
        </w:rPr>
      </w:r>
      <w:r w:rsidRPr="00C16BD4">
        <w:rPr>
          <w:noProof/>
        </w:rPr>
        <w:fldChar w:fldCharType="separate"/>
      </w:r>
      <w:r w:rsidR="00EE271C">
        <w:rPr>
          <w:noProof/>
        </w:rPr>
        <w:t>27</w:t>
      </w:r>
      <w:r w:rsidRPr="00C16BD4">
        <w:rPr>
          <w:noProof/>
        </w:rPr>
        <w:fldChar w:fldCharType="end"/>
      </w:r>
    </w:p>
    <w:p w14:paraId="3A18564C" w14:textId="61B0E522"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22</w:t>
      </w:r>
      <w:r>
        <w:rPr>
          <w:noProof/>
        </w:rPr>
        <w:tab/>
        <w:t>Register entry in relation to suspension of registration</w:t>
      </w:r>
      <w:r w:rsidRPr="00C16BD4">
        <w:rPr>
          <w:noProof/>
        </w:rPr>
        <w:tab/>
      </w:r>
      <w:r w:rsidRPr="00C16BD4">
        <w:rPr>
          <w:noProof/>
        </w:rPr>
        <w:fldChar w:fldCharType="begin"/>
      </w:r>
      <w:r w:rsidRPr="00C16BD4">
        <w:rPr>
          <w:noProof/>
        </w:rPr>
        <w:instrText xml:space="preserve"> PAGEREF _Toc198224945 \h </w:instrText>
      </w:r>
      <w:r w:rsidRPr="00C16BD4">
        <w:rPr>
          <w:noProof/>
        </w:rPr>
      </w:r>
      <w:r w:rsidRPr="00C16BD4">
        <w:rPr>
          <w:noProof/>
        </w:rPr>
        <w:fldChar w:fldCharType="separate"/>
      </w:r>
      <w:r w:rsidR="00EE271C">
        <w:rPr>
          <w:noProof/>
        </w:rPr>
        <w:t>28</w:t>
      </w:r>
      <w:r w:rsidRPr="00C16BD4">
        <w:rPr>
          <w:noProof/>
        </w:rPr>
        <w:fldChar w:fldCharType="end"/>
      </w:r>
    </w:p>
    <w:p w14:paraId="52B3809E" w14:textId="432EF853"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5—Cancellation of registration</w:t>
      </w:r>
      <w:r w:rsidRPr="00C16BD4">
        <w:rPr>
          <w:b w:val="0"/>
          <w:noProof/>
          <w:sz w:val="18"/>
        </w:rPr>
        <w:tab/>
      </w:r>
      <w:r w:rsidRPr="00C16BD4">
        <w:rPr>
          <w:b w:val="0"/>
          <w:noProof/>
          <w:sz w:val="18"/>
        </w:rPr>
        <w:fldChar w:fldCharType="begin"/>
      </w:r>
      <w:r w:rsidRPr="00C16BD4">
        <w:rPr>
          <w:b w:val="0"/>
          <w:noProof/>
          <w:sz w:val="18"/>
        </w:rPr>
        <w:instrText xml:space="preserve"> PAGEREF _Toc198224946 \h </w:instrText>
      </w:r>
      <w:r w:rsidRPr="00C16BD4">
        <w:rPr>
          <w:b w:val="0"/>
          <w:noProof/>
          <w:sz w:val="18"/>
        </w:rPr>
      </w:r>
      <w:r w:rsidRPr="00C16BD4">
        <w:rPr>
          <w:b w:val="0"/>
          <w:noProof/>
          <w:sz w:val="18"/>
        </w:rPr>
        <w:fldChar w:fldCharType="separate"/>
      </w:r>
      <w:r w:rsidR="00EE271C">
        <w:rPr>
          <w:b w:val="0"/>
          <w:noProof/>
          <w:sz w:val="18"/>
        </w:rPr>
        <w:t>29</w:t>
      </w:r>
      <w:r w:rsidRPr="00C16BD4">
        <w:rPr>
          <w:b w:val="0"/>
          <w:noProof/>
          <w:sz w:val="18"/>
        </w:rPr>
        <w:fldChar w:fldCharType="end"/>
      </w:r>
    </w:p>
    <w:p w14:paraId="4B5A1386" w14:textId="2A75F055"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23</w:t>
      </w:r>
      <w:r>
        <w:rPr>
          <w:noProof/>
        </w:rPr>
        <w:tab/>
        <w:t>Cancellation of registration</w:t>
      </w:r>
      <w:r w:rsidRPr="00C16BD4">
        <w:rPr>
          <w:noProof/>
        </w:rPr>
        <w:tab/>
      </w:r>
      <w:r w:rsidRPr="00C16BD4">
        <w:rPr>
          <w:noProof/>
        </w:rPr>
        <w:fldChar w:fldCharType="begin"/>
      </w:r>
      <w:r w:rsidRPr="00C16BD4">
        <w:rPr>
          <w:noProof/>
        </w:rPr>
        <w:instrText xml:space="preserve"> PAGEREF _Toc198224947 \h </w:instrText>
      </w:r>
      <w:r w:rsidRPr="00C16BD4">
        <w:rPr>
          <w:noProof/>
        </w:rPr>
      </w:r>
      <w:r w:rsidRPr="00C16BD4">
        <w:rPr>
          <w:noProof/>
        </w:rPr>
        <w:fldChar w:fldCharType="separate"/>
      </w:r>
      <w:r w:rsidR="00EE271C">
        <w:rPr>
          <w:noProof/>
        </w:rPr>
        <w:t>29</w:t>
      </w:r>
      <w:r w:rsidRPr="00C16BD4">
        <w:rPr>
          <w:noProof/>
        </w:rPr>
        <w:fldChar w:fldCharType="end"/>
      </w:r>
    </w:p>
    <w:p w14:paraId="59ABEB9F" w14:textId="37A6DC58"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24</w:t>
      </w:r>
      <w:r>
        <w:rPr>
          <w:noProof/>
        </w:rPr>
        <w:tab/>
        <w:t>Publication of cancellation information</w:t>
      </w:r>
      <w:r w:rsidRPr="00C16BD4">
        <w:rPr>
          <w:noProof/>
        </w:rPr>
        <w:tab/>
      </w:r>
      <w:r w:rsidRPr="00C16BD4">
        <w:rPr>
          <w:noProof/>
        </w:rPr>
        <w:fldChar w:fldCharType="begin"/>
      </w:r>
      <w:r w:rsidRPr="00C16BD4">
        <w:rPr>
          <w:noProof/>
        </w:rPr>
        <w:instrText xml:space="preserve"> PAGEREF _Toc198224948 \h </w:instrText>
      </w:r>
      <w:r w:rsidRPr="00C16BD4">
        <w:rPr>
          <w:noProof/>
        </w:rPr>
      </w:r>
      <w:r w:rsidRPr="00C16BD4">
        <w:rPr>
          <w:noProof/>
        </w:rPr>
        <w:fldChar w:fldCharType="separate"/>
      </w:r>
      <w:r w:rsidR="00EE271C">
        <w:rPr>
          <w:noProof/>
        </w:rPr>
        <w:t>29</w:t>
      </w:r>
      <w:r w:rsidRPr="00C16BD4">
        <w:rPr>
          <w:noProof/>
        </w:rPr>
        <w:fldChar w:fldCharType="end"/>
      </w:r>
    </w:p>
    <w:p w14:paraId="337B1AD7" w14:textId="58460DC8"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6—Renewal of registration</w:t>
      </w:r>
      <w:r w:rsidRPr="00C16BD4">
        <w:rPr>
          <w:b w:val="0"/>
          <w:noProof/>
          <w:sz w:val="18"/>
        </w:rPr>
        <w:tab/>
      </w:r>
      <w:r w:rsidRPr="00C16BD4">
        <w:rPr>
          <w:b w:val="0"/>
          <w:noProof/>
          <w:sz w:val="18"/>
        </w:rPr>
        <w:fldChar w:fldCharType="begin"/>
      </w:r>
      <w:r w:rsidRPr="00C16BD4">
        <w:rPr>
          <w:b w:val="0"/>
          <w:noProof/>
          <w:sz w:val="18"/>
        </w:rPr>
        <w:instrText xml:space="preserve"> PAGEREF _Toc198224949 \h </w:instrText>
      </w:r>
      <w:r w:rsidRPr="00C16BD4">
        <w:rPr>
          <w:b w:val="0"/>
          <w:noProof/>
          <w:sz w:val="18"/>
        </w:rPr>
      </w:r>
      <w:r w:rsidRPr="00C16BD4">
        <w:rPr>
          <w:b w:val="0"/>
          <w:noProof/>
          <w:sz w:val="18"/>
        </w:rPr>
        <w:fldChar w:fldCharType="separate"/>
      </w:r>
      <w:r w:rsidR="00EE271C">
        <w:rPr>
          <w:b w:val="0"/>
          <w:noProof/>
          <w:sz w:val="18"/>
        </w:rPr>
        <w:t>30</w:t>
      </w:r>
      <w:r w:rsidRPr="00C16BD4">
        <w:rPr>
          <w:b w:val="0"/>
          <w:noProof/>
          <w:sz w:val="18"/>
        </w:rPr>
        <w:fldChar w:fldCharType="end"/>
      </w:r>
    </w:p>
    <w:p w14:paraId="14C1690C" w14:textId="11F43076"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25</w:t>
      </w:r>
      <w:r>
        <w:rPr>
          <w:noProof/>
        </w:rPr>
        <w:tab/>
        <w:t>Purpose of this Division</w:t>
      </w:r>
      <w:r w:rsidRPr="00C16BD4">
        <w:rPr>
          <w:noProof/>
        </w:rPr>
        <w:tab/>
      </w:r>
      <w:r w:rsidRPr="00C16BD4">
        <w:rPr>
          <w:noProof/>
        </w:rPr>
        <w:fldChar w:fldCharType="begin"/>
      </w:r>
      <w:r w:rsidRPr="00C16BD4">
        <w:rPr>
          <w:noProof/>
        </w:rPr>
        <w:instrText xml:space="preserve"> PAGEREF _Toc198224950 \h </w:instrText>
      </w:r>
      <w:r w:rsidRPr="00C16BD4">
        <w:rPr>
          <w:noProof/>
        </w:rPr>
      </w:r>
      <w:r w:rsidRPr="00C16BD4">
        <w:rPr>
          <w:noProof/>
        </w:rPr>
        <w:fldChar w:fldCharType="separate"/>
      </w:r>
      <w:r w:rsidR="00EE271C">
        <w:rPr>
          <w:noProof/>
        </w:rPr>
        <w:t>30</w:t>
      </w:r>
      <w:r w:rsidRPr="00C16BD4">
        <w:rPr>
          <w:noProof/>
        </w:rPr>
        <w:fldChar w:fldCharType="end"/>
      </w:r>
    </w:p>
    <w:p w14:paraId="5AE7BB03" w14:textId="2A90EC58"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26</w:t>
      </w:r>
      <w:r>
        <w:rPr>
          <w:noProof/>
        </w:rPr>
        <w:tab/>
        <w:t>Application for renewal of registration</w:t>
      </w:r>
      <w:r w:rsidRPr="00C16BD4">
        <w:rPr>
          <w:noProof/>
        </w:rPr>
        <w:tab/>
      </w:r>
      <w:r w:rsidRPr="00C16BD4">
        <w:rPr>
          <w:noProof/>
        </w:rPr>
        <w:fldChar w:fldCharType="begin"/>
      </w:r>
      <w:r w:rsidRPr="00C16BD4">
        <w:rPr>
          <w:noProof/>
        </w:rPr>
        <w:instrText xml:space="preserve"> PAGEREF _Toc198224951 \h </w:instrText>
      </w:r>
      <w:r w:rsidRPr="00C16BD4">
        <w:rPr>
          <w:noProof/>
        </w:rPr>
      </w:r>
      <w:r w:rsidRPr="00C16BD4">
        <w:rPr>
          <w:noProof/>
        </w:rPr>
        <w:fldChar w:fldCharType="separate"/>
      </w:r>
      <w:r w:rsidR="00EE271C">
        <w:rPr>
          <w:noProof/>
        </w:rPr>
        <w:t>30</w:t>
      </w:r>
      <w:r w:rsidRPr="00C16BD4">
        <w:rPr>
          <w:noProof/>
        </w:rPr>
        <w:fldChar w:fldCharType="end"/>
      </w:r>
    </w:p>
    <w:p w14:paraId="06FE5123" w14:textId="4EF0E863"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27</w:t>
      </w:r>
      <w:r>
        <w:rPr>
          <w:noProof/>
        </w:rPr>
        <w:tab/>
        <w:t>Period within which renewal applications may be made</w:t>
      </w:r>
      <w:r w:rsidRPr="00C16BD4">
        <w:rPr>
          <w:noProof/>
        </w:rPr>
        <w:tab/>
      </w:r>
      <w:r w:rsidRPr="00C16BD4">
        <w:rPr>
          <w:noProof/>
        </w:rPr>
        <w:fldChar w:fldCharType="begin"/>
      </w:r>
      <w:r w:rsidRPr="00C16BD4">
        <w:rPr>
          <w:noProof/>
        </w:rPr>
        <w:instrText xml:space="preserve"> PAGEREF _Toc198224952 \h </w:instrText>
      </w:r>
      <w:r w:rsidRPr="00C16BD4">
        <w:rPr>
          <w:noProof/>
        </w:rPr>
      </w:r>
      <w:r w:rsidRPr="00C16BD4">
        <w:rPr>
          <w:noProof/>
        </w:rPr>
        <w:fldChar w:fldCharType="separate"/>
      </w:r>
      <w:r w:rsidR="00EE271C">
        <w:rPr>
          <w:noProof/>
        </w:rPr>
        <w:t>30</w:t>
      </w:r>
      <w:r w:rsidRPr="00C16BD4">
        <w:rPr>
          <w:noProof/>
        </w:rPr>
        <w:fldChar w:fldCharType="end"/>
      </w:r>
    </w:p>
    <w:p w14:paraId="657B6688" w14:textId="01098FD6"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28</w:t>
      </w:r>
      <w:r>
        <w:rPr>
          <w:noProof/>
        </w:rPr>
        <w:tab/>
        <w:t>Determining renewal application</w:t>
      </w:r>
      <w:r w:rsidRPr="00C16BD4">
        <w:rPr>
          <w:noProof/>
        </w:rPr>
        <w:tab/>
      </w:r>
      <w:r w:rsidRPr="00C16BD4">
        <w:rPr>
          <w:noProof/>
        </w:rPr>
        <w:fldChar w:fldCharType="begin"/>
      </w:r>
      <w:r w:rsidRPr="00C16BD4">
        <w:rPr>
          <w:noProof/>
        </w:rPr>
        <w:instrText xml:space="preserve"> PAGEREF _Toc198224953 \h </w:instrText>
      </w:r>
      <w:r w:rsidRPr="00C16BD4">
        <w:rPr>
          <w:noProof/>
        </w:rPr>
      </w:r>
      <w:r w:rsidRPr="00C16BD4">
        <w:rPr>
          <w:noProof/>
        </w:rPr>
        <w:fldChar w:fldCharType="separate"/>
      </w:r>
      <w:r w:rsidR="00EE271C">
        <w:rPr>
          <w:noProof/>
        </w:rPr>
        <w:t>30</w:t>
      </w:r>
      <w:r w:rsidRPr="00C16BD4">
        <w:rPr>
          <w:noProof/>
        </w:rPr>
        <w:fldChar w:fldCharType="end"/>
      </w:r>
    </w:p>
    <w:p w14:paraId="4A195FCC" w14:textId="2FAB0E05"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29</w:t>
      </w:r>
      <w:r>
        <w:rPr>
          <w:noProof/>
        </w:rPr>
        <w:tab/>
        <w:t>Period for which renewed registrations have effect</w:t>
      </w:r>
      <w:r w:rsidRPr="00C16BD4">
        <w:rPr>
          <w:noProof/>
        </w:rPr>
        <w:tab/>
      </w:r>
      <w:r w:rsidRPr="00C16BD4">
        <w:rPr>
          <w:noProof/>
        </w:rPr>
        <w:fldChar w:fldCharType="begin"/>
      </w:r>
      <w:r w:rsidRPr="00C16BD4">
        <w:rPr>
          <w:noProof/>
        </w:rPr>
        <w:instrText xml:space="preserve"> PAGEREF _Toc198224954 \h </w:instrText>
      </w:r>
      <w:r w:rsidRPr="00C16BD4">
        <w:rPr>
          <w:noProof/>
        </w:rPr>
      </w:r>
      <w:r w:rsidRPr="00C16BD4">
        <w:rPr>
          <w:noProof/>
        </w:rPr>
        <w:fldChar w:fldCharType="separate"/>
      </w:r>
      <w:r w:rsidR="00EE271C">
        <w:rPr>
          <w:noProof/>
        </w:rPr>
        <w:t>31</w:t>
      </w:r>
      <w:r w:rsidRPr="00C16BD4">
        <w:rPr>
          <w:noProof/>
        </w:rPr>
        <w:fldChar w:fldCharType="end"/>
      </w:r>
    </w:p>
    <w:p w14:paraId="4A7D00A2" w14:textId="185760E9"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30</w:t>
      </w:r>
      <w:r>
        <w:rPr>
          <w:noProof/>
        </w:rPr>
        <w:tab/>
        <w:t>Decision on renewal application is a reviewable decision</w:t>
      </w:r>
      <w:r w:rsidRPr="00C16BD4">
        <w:rPr>
          <w:noProof/>
        </w:rPr>
        <w:tab/>
      </w:r>
      <w:r w:rsidRPr="00C16BD4">
        <w:rPr>
          <w:noProof/>
        </w:rPr>
        <w:fldChar w:fldCharType="begin"/>
      </w:r>
      <w:r w:rsidRPr="00C16BD4">
        <w:rPr>
          <w:noProof/>
        </w:rPr>
        <w:instrText xml:space="preserve"> PAGEREF _Toc198224955 \h </w:instrText>
      </w:r>
      <w:r w:rsidRPr="00C16BD4">
        <w:rPr>
          <w:noProof/>
        </w:rPr>
      </w:r>
      <w:r w:rsidRPr="00C16BD4">
        <w:rPr>
          <w:noProof/>
        </w:rPr>
        <w:fldChar w:fldCharType="separate"/>
      </w:r>
      <w:r w:rsidR="00EE271C">
        <w:rPr>
          <w:noProof/>
        </w:rPr>
        <w:t>31</w:t>
      </w:r>
      <w:r w:rsidRPr="00C16BD4">
        <w:rPr>
          <w:noProof/>
        </w:rPr>
        <w:fldChar w:fldCharType="end"/>
      </w:r>
    </w:p>
    <w:p w14:paraId="388E136E" w14:textId="4C6E8FDF"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31</w:t>
      </w:r>
      <w:r>
        <w:rPr>
          <w:noProof/>
        </w:rPr>
        <w:tab/>
        <w:t>Continuation of registration pending decision on renewal application</w:t>
      </w:r>
      <w:r w:rsidRPr="00C16BD4">
        <w:rPr>
          <w:noProof/>
        </w:rPr>
        <w:tab/>
      </w:r>
      <w:r w:rsidRPr="00C16BD4">
        <w:rPr>
          <w:noProof/>
        </w:rPr>
        <w:fldChar w:fldCharType="begin"/>
      </w:r>
      <w:r w:rsidRPr="00C16BD4">
        <w:rPr>
          <w:noProof/>
        </w:rPr>
        <w:instrText xml:space="preserve"> PAGEREF _Toc198224956 \h </w:instrText>
      </w:r>
      <w:r w:rsidRPr="00C16BD4">
        <w:rPr>
          <w:noProof/>
        </w:rPr>
      </w:r>
      <w:r w:rsidRPr="00C16BD4">
        <w:rPr>
          <w:noProof/>
        </w:rPr>
        <w:fldChar w:fldCharType="separate"/>
      </w:r>
      <w:r w:rsidR="00EE271C">
        <w:rPr>
          <w:noProof/>
        </w:rPr>
        <w:t>31</w:t>
      </w:r>
      <w:r w:rsidRPr="00C16BD4">
        <w:rPr>
          <w:noProof/>
        </w:rPr>
        <w:fldChar w:fldCharType="end"/>
      </w:r>
    </w:p>
    <w:p w14:paraId="3D8C2EDD" w14:textId="2D446E8F"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7—Matters registered persons required to advise</w:t>
      </w:r>
      <w:r w:rsidRPr="00C16BD4">
        <w:rPr>
          <w:b w:val="0"/>
          <w:noProof/>
          <w:sz w:val="18"/>
        </w:rPr>
        <w:tab/>
      </w:r>
      <w:r w:rsidRPr="00C16BD4">
        <w:rPr>
          <w:b w:val="0"/>
          <w:noProof/>
          <w:sz w:val="18"/>
        </w:rPr>
        <w:fldChar w:fldCharType="begin"/>
      </w:r>
      <w:r w:rsidRPr="00C16BD4">
        <w:rPr>
          <w:b w:val="0"/>
          <w:noProof/>
          <w:sz w:val="18"/>
        </w:rPr>
        <w:instrText xml:space="preserve"> PAGEREF _Toc198224957 \h </w:instrText>
      </w:r>
      <w:r w:rsidRPr="00C16BD4">
        <w:rPr>
          <w:b w:val="0"/>
          <w:noProof/>
          <w:sz w:val="18"/>
        </w:rPr>
      </w:r>
      <w:r w:rsidRPr="00C16BD4">
        <w:rPr>
          <w:b w:val="0"/>
          <w:noProof/>
          <w:sz w:val="18"/>
        </w:rPr>
        <w:fldChar w:fldCharType="separate"/>
      </w:r>
      <w:r w:rsidR="00EE271C">
        <w:rPr>
          <w:b w:val="0"/>
          <w:noProof/>
          <w:sz w:val="18"/>
        </w:rPr>
        <w:t>32</w:t>
      </w:r>
      <w:r w:rsidRPr="00C16BD4">
        <w:rPr>
          <w:b w:val="0"/>
          <w:noProof/>
          <w:sz w:val="18"/>
        </w:rPr>
        <w:fldChar w:fldCharType="end"/>
      </w:r>
    </w:p>
    <w:p w14:paraId="45EEAE33" w14:textId="2ACF3175"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32</w:t>
      </w:r>
      <w:r>
        <w:rPr>
          <w:noProof/>
        </w:rPr>
        <w:tab/>
        <w:t>Matters registered persons required to advise</w:t>
      </w:r>
      <w:r w:rsidRPr="00C16BD4">
        <w:rPr>
          <w:noProof/>
        </w:rPr>
        <w:tab/>
      </w:r>
      <w:r w:rsidRPr="00C16BD4">
        <w:rPr>
          <w:noProof/>
        </w:rPr>
        <w:fldChar w:fldCharType="begin"/>
      </w:r>
      <w:r w:rsidRPr="00C16BD4">
        <w:rPr>
          <w:noProof/>
        </w:rPr>
        <w:instrText xml:space="preserve"> PAGEREF _Toc198224958 \h </w:instrText>
      </w:r>
      <w:r w:rsidRPr="00C16BD4">
        <w:rPr>
          <w:noProof/>
        </w:rPr>
      </w:r>
      <w:r w:rsidRPr="00C16BD4">
        <w:rPr>
          <w:noProof/>
        </w:rPr>
        <w:fldChar w:fldCharType="separate"/>
      </w:r>
      <w:r w:rsidR="00EE271C">
        <w:rPr>
          <w:noProof/>
        </w:rPr>
        <w:t>32</w:t>
      </w:r>
      <w:r w:rsidRPr="00C16BD4">
        <w:rPr>
          <w:noProof/>
        </w:rPr>
        <w:fldChar w:fldCharType="end"/>
      </w:r>
    </w:p>
    <w:p w14:paraId="709DB32A" w14:textId="1AAC9317"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8—Other matters</w:t>
      </w:r>
      <w:r w:rsidRPr="00C16BD4">
        <w:rPr>
          <w:b w:val="0"/>
          <w:noProof/>
          <w:sz w:val="18"/>
        </w:rPr>
        <w:tab/>
      </w:r>
      <w:r w:rsidRPr="00C16BD4">
        <w:rPr>
          <w:b w:val="0"/>
          <w:noProof/>
          <w:sz w:val="18"/>
        </w:rPr>
        <w:fldChar w:fldCharType="begin"/>
      </w:r>
      <w:r w:rsidRPr="00C16BD4">
        <w:rPr>
          <w:b w:val="0"/>
          <w:noProof/>
          <w:sz w:val="18"/>
        </w:rPr>
        <w:instrText xml:space="preserve"> PAGEREF _Toc198224959 \h </w:instrText>
      </w:r>
      <w:r w:rsidRPr="00C16BD4">
        <w:rPr>
          <w:b w:val="0"/>
          <w:noProof/>
          <w:sz w:val="18"/>
        </w:rPr>
      </w:r>
      <w:r w:rsidRPr="00C16BD4">
        <w:rPr>
          <w:b w:val="0"/>
          <w:noProof/>
          <w:sz w:val="18"/>
        </w:rPr>
        <w:fldChar w:fldCharType="separate"/>
      </w:r>
      <w:r w:rsidR="00EE271C">
        <w:rPr>
          <w:b w:val="0"/>
          <w:noProof/>
          <w:sz w:val="18"/>
        </w:rPr>
        <w:t>33</w:t>
      </w:r>
      <w:r w:rsidRPr="00C16BD4">
        <w:rPr>
          <w:b w:val="0"/>
          <w:noProof/>
          <w:sz w:val="18"/>
        </w:rPr>
        <w:fldChar w:fldCharType="end"/>
      </w:r>
    </w:p>
    <w:p w14:paraId="6CEF4DE3" w14:textId="6093AAC0"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33</w:t>
      </w:r>
      <w:r>
        <w:rPr>
          <w:noProof/>
        </w:rPr>
        <w:tab/>
        <w:t>Spent convictions</w:t>
      </w:r>
      <w:r w:rsidRPr="00C16BD4">
        <w:rPr>
          <w:noProof/>
        </w:rPr>
        <w:tab/>
      </w:r>
      <w:r w:rsidRPr="00C16BD4">
        <w:rPr>
          <w:noProof/>
        </w:rPr>
        <w:fldChar w:fldCharType="begin"/>
      </w:r>
      <w:r w:rsidRPr="00C16BD4">
        <w:rPr>
          <w:noProof/>
        </w:rPr>
        <w:instrText xml:space="preserve"> PAGEREF _Toc198224960 \h </w:instrText>
      </w:r>
      <w:r w:rsidRPr="00C16BD4">
        <w:rPr>
          <w:noProof/>
        </w:rPr>
      </w:r>
      <w:r w:rsidRPr="00C16BD4">
        <w:rPr>
          <w:noProof/>
        </w:rPr>
        <w:fldChar w:fldCharType="separate"/>
      </w:r>
      <w:r w:rsidR="00EE271C">
        <w:rPr>
          <w:noProof/>
        </w:rPr>
        <w:t>33</w:t>
      </w:r>
      <w:r w:rsidRPr="00C16BD4">
        <w:rPr>
          <w:noProof/>
        </w:rPr>
        <w:fldChar w:fldCharType="end"/>
      </w:r>
    </w:p>
    <w:p w14:paraId="338BF294" w14:textId="585C8C59" w:rsidR="00C16BD4" w:rsidRDefault="00C16BD4">
      <w:pPr>
        <w:pStyle w:val="TOC2"/>
        <w:rPr>
          <w:rFonts w:asciiTheme="minorHAnsi" w:eastAsiaTheme="minorEastAsia" w:hAnsiTheme="minorHAnsi" w:cstheme="minorBidi"/>
          <w:b w:val="0"/>
          <w:noProof/>
          <w:kern w:val="2"/>
          <w:szCs w:val="24"/>
          <w14:ligatures w14:val="standardContextual"/>
        </w:rPr>
      </w:pPr>
      <w:r>
        <w:rPr>
          <w:noProof/>
        </w:rPr>
        <w:t>Part 4—AML/CTF programs</w:t>
      </w:r>
      <w:r w:rsidRPr="00C16BD4">
        <w:rPr>
          <w:b w:val="0"/>
          <w:noProof/>
          <w:sz w:val="18"/>
        </w:rPr>
        <w:tab/>
      </w:r>
      <w:r w:rsidRPr="00C16BD4">
        <w:rPr>
          <w:b w:val="0"/>
          <w:noProof/>
          <w:sz w:val="18"/>
        </w:rPr>
        <w:fldChar w:fldCharType="begin"/>
      </w:r>
      <w:r w:rsidRPr="00C16BD4">
        <w:rPr>
          <w:b w:val="0"/>
          <w:noProof/>
          <w:sz w:val="18"/>
        </w:rPr>
        <w:instrText xml:space="preserve"> PAGEREF _Toc198224961 \h </w:instrText>
      </w:r>
      <w:r w:rsidRPr="00C16BD4">
        <w:rPr>
          <w:b w:val="0"/>
          <w:noProof/>
          <w:sz w:val="18"/>
        </w:rPr>
      </w:r>
      <w:r w:rsidRPr="00C16BD4">
        <w:rPr>
          <w:b w:val="0"/>
          <w:noProof/>
          <w:sz w:val="18"/>
        </w:rPr>
        <w:fldChar w:fldCharType="separate"/>
      </w:r>
      <w:r w:rsidR="00EE271C">
        <w:rPr>
          <w:b w:val="0"/>
          <w:noProof/>
          <w:sz w:val="18"/>
        </w:rPr>
        <w:t>34</w:t>
      </w:r>
      <w:r w:rsidRPr="00C16BD4">
        <w:rPr>
          <w:b w:val="0"/>
          <w:noProof/>
          <w:sz w:val="18"/>
        </w:rPr>
        <w:fldChar w:fldCharType="end"/>
      </w:r>
    </w:p>
    <w:p w14:paraId="1AE5EE03" w14:textId="032952B5"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1—ML/TF risk assessment</w:t>
      </w:r>
      <w:r w:rsidRPr="00C16BD4">
        <w:rPr>
          <w:b w:val="0"/>
          <w:noProof/>
          <w:sz w:val="18"/>
        </w:rPr>
        <w:tab/>
      </w:r>
      <w:r w:rsidRPr="00C16BD4">
        <w:rPr>
          <w:b w:val="0"/>
          <w:noProof/>
          <w:sz w:val="18"/>
        </w:rPr>
        <w:fldChar w:fldCharType="begin"/>
      </w:r>
      <w:r w:rsidRPr="00C16BD4">
        <w:rPr>
          <w:b w:val="0"/>
          <w:noProof/>
          <w:sz w:val="18"/>
        </w:rPr>
        <w:instrText xml:space="preserve"> PAGEREF _Toc198224962 \h </w:instrText>
      </w:r>
      <w:r w:rsidRPr="00C16BD4">
        <w:rPr>
          <w:b w:val="0"/>
          <w:noProof/>
          <w:sz w:val="18"/>
        </w:rPr>
      </w:r>
      <w:r w:rsidRPr="00C16BD4">
        <w:rPr>
          <w:b w:val="0"/>
          <w:noProof/>
          <w:sz w:val="18"/>
        </w:rPr>
        <w:fldChar w:fldCharType="separate"/>
      </w:r>
      <w:r w:rsidR="00EE271C">
        <w:rPr>
          <w:b w:val="0"/>
          <w:noProof/>
          <w:sz w:val="18"/>
        </w:rPr>
        <w:t>34</w:t>
      </w:r>
      <w:r w:rsidRPr="00C16BD4">
        <w:rPr>
          <w:b w:val="0"/>
          <w:noProof/>
          <w:sz w:val="18"/>
        </w:rPr>
        <w:fldChar w:fldCharType="end"/>
      </w:r>
    </w:p>
    <w:p w14:paraId="01E89F31" w14:textId="0AEC485B"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w:t>
      </w:r>
      <w:r>
        <w:rPr>
          <w:noProof/>
        </w:rPr>
        <w:tab/>
        <w:t>Review of ML/TF risk assessment</w:t>
      </w:r>
      <w:r w:rsidRPr="00C16BD4">
        <w:rPr>
          <w:noProof/>
        </w:rPr>
        <w:tab/>
      </w:r>
      <w:r w:rsidRPr="00C16BD4">
        <w:rPr>
          <w:noProof/>
        </w:rPr>
        <w:fldChar w:fldCharType="begin"/>
      </w:r>
      <w:r w:rsidRPr="00C16BD4">
        <w:rPr>
          <w:noProof/>
        </w:rPr>
        <w:instrText xml:space="preserve"> PAGEREF _Toc198224963 \h </w:instrText>
      </w:r>
      <w:r w:rsidRPr="00C16BD4">
        <w:rPr>
          <w:noProof/>
        </w:rPr>
      </w:r>
      <w:r w:rsidRPr="00C16BD4">
        <w:rPr>
          <w:noProof/>
        </w:rPr>
        <w:fldChar w:fldCharType="separate"/>
      </w:r>
      <w:r w:rsidR="00EE271C">
        <w:rPr>
          <w:noProof/>
        </w:rPr>
        <w:t>34</w:t>
      </w:r>
      <w:r w:rsidRPr="00C16BD4">
        <w:rPr>
          <w:noProof/>
        </w:rPr>
        <w:fldChar w:fldCharType="end"/>
      </w:r>
    </w:p>
    <w:p w14:paraId="542FD3D2" w14:textId="1981FB2D"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2—AML/CTF policies</w:t>
      </w:r>
      <w:r w:rsidRPr="00C16BD4">
        <w:rPr>
          <w:b w:val="0"/>
          <w:noProof/>
          <w:sz w:val="18"/>
        </w:rPr>
        <w:tab/>
      </w:r>
      <w:r w:rsidRPr="00C16BD4">
        <w:rPr>
          <w:b w:val="0"/>
          <w:noProof/>
          <w:sz w:val="18"/>
        </w:rPr>
        <w:fldChar w:fldCharType="begin"/>
      </w:r>
      <w:r w:rsidRPr="00C16BD4">
        <w:rPr>
          <w:b w:val="0"/>
          <w:noProof/>
          <w:sz w:val="18"/>
        </w:rPr>
        <w:instrText xml:space="preserve"> PAGEREF _Toc198224964 \h </w:instrText>
      </w:r>
      <w:r w:rsidRPr="00C16BD4">
        <w:rPr>
          <w:b w:val="0"/>
          <w:noProof/>
          <w:sz w:val="18"/>
        </w:rPr>
      </w:r>
      <w:r w:rsidRPr="00C16BD4">
        <w:rPr>
          <w:b w:val="0"/>
          <w:noProof/>
          <w:sz w:val="18"/>
        </w:rPr>
        <w:fldChar w:fldCharType="separate"/>
      </w:r>
      <w:r w:rsidR="00EE271C">
        <w:rPr>
          <w:b w:val="0"/>
          <w:noProof/>
          <w:sz w:val="18"/>
        </w:rPr>
        <w:t>35</w:t>
      </w:r>
      <w:r w:rsidRPr="00C16BD4">
        <w:rPr>
          <w:b w:val="0"/>
          <w:noProof/>
          <w:sz w:val="18"/>
        </w:rPr>
        <w:fldChar w:fldCharType="end"/>
      </w:r>
    </w:p>
    <w:p w14:paraId="49DE01E6" w14:textId="18EC12F8"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2</w:t>
      </w:r>
      <w:r>
        <w:rPr>
          <w:noProof/>
        </w:rPr>
        <w:tab/>
        <w:t>Prevention of tipping off</w:t>
      </w:r>
      <w:r w:rsidRPr="00C16BD4">
        <w:rPr>
          <w:noProof/>
        </w:rPr>
        <w:tab/>
      </w:r>
      <w:r w:rsidRPr="00C16BD4">
        <w:rPr>
          <w:noProof/>
        </w:rPr>
        <w:fldChar w:fldCharType="begin"/>
      </w:r>
      <w:r w:rsidRPr="00C16BD4">
        <w:rPr>
          <w:noProof/>
        </w:rPr>
        <w:instrText xml:space="preserve"> PAGEREF _Toc198224965 \h </w:instrText>
      </w:r>
      <w:r w:rsidRPr="00C16BD4">
        <w:rPr>
          <w:noProof/>
        </w:rPr>
      </w:r>
      <w:r w:rsidRPr="00C16BD4">
        <w:rPr>
          <w:noProof/>
        </w:rPr>
        <w:fldChar w:fldCharType="separate"/>
      </w:r>
      <w:r w:rsidR="00EE271C">
        <w:rPr>
          <w:noProof/>
        </w:rPr>
        <w:t>35</w:t>
      </w:r>
      <w:r w:rsidRPr="00C16BD4">
        <w:rPr>
          <w:noProof/>
        </w:rPr>
        <w:fldChar w:fldCharType="end"/>
      </w:r>
    </w:p>
    <w:p w14:paraId="64FBA088" w14:textId="2F2A55C0"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3</w:t>
      </w:r>
      <w:r>
        <w:rPr>
          <w:noProof/>
        </w:rPr>
        <w:tab/>
        <w:t>Provision of information to governing body</w:t>
      </w:r>
      <w:r w:rsidRPr="00C16BD4">
        <w:rPr>
          <w:noProof/>
        </w:rPr>
        <w:tab/>
      </w:r>
      <w:r w:rsidRPr="00C16BD4">
        <w:rPr>
          <w:noProof/>
        </w:rPr>
        <w:fldChar w:fldCharType="begin"/>
      </w:r>
      <w:r w:rsidRPr="00C16BD4">
        <w:rPr>
          <w:noProof/>
        </w:rPr>
        <w:instrText xml:space="preserve"> PAGEREF _Toc198224966 \h </w:instrText>
      </w:r>
      <w:r w:rsidRPr="00C16BD4">
        <w:rPr>
          <w:noProof/>
        </w:rPr>
      </w:r>
      <w:r w:rsidRPr="00C16BD4">
        <w:rPr>
          <w:noProof/>
        </w:rPr>
        <w:fldChar w:fldCharType="separate"/>
      </w:r>
      <w:r w:rsidR="00EE271C">
        <w:rPr>
          <w:noProof/>
        </w:rPr>
        <w:t>35</w:t>
      </w:r>
      <w:r w:rsidRPr="00C16BD4">
        <w:rPr>
          <w:noProof/>
        </w:rPr>
        <w:fldChar w:fldCharType="end"/>
      </w:r>
    </w:p>
    <w:p w14:paraId="244A624A" w14:textId="59AC201B"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4</w:t>
      </w:r>
      <w:r>
        <w:rPr>
          <w:noProof/>
        </w:rPr>
        <w:tab/>
        <w:t>Reporting from AML/CTF compliance officer to governing body</w:t>
      </w:r>
      <w:r w:rsidRPr="00C16BD4">
        <w:rPr>
          <w:noProof/>
        </w:rPr>
        <w:tab/>
      </w:r>
      <w:r w:rsidRPr="00C16BD4">
        <w:rPr>
          <w:noProof/>
        </w:rPr>
        <w:fldChar w:fldCharType="begin"/>
      </w:r>
      <w:r w:rsidRPr="00C16BD4">
        <w:rPr>
          <w:noProof/>
        </w:rPr>
        <w:instrText xml:space="preserve"> PAGEREF _Toc198224967 \h </w:instrText>
      </w:r>
      <w:r w:rsidRPr="00C16BD4">
        <w:rPr>
          <w:noProof/>
        </w:rPr>
      </w:r>
      <w:r w:rsidRPr="00C16BD4">
        <w:rPr>
          <w:noProof/>
        </w:rPr>
        <w:fldChar w:fldCharType="separate"/>
      </w:r>
      <w:r w:rsidR="00EE271C">
        <w:rPr>
          <w:noProof/>
        </w:rPr>
        <w:t>35</w:t>
      </w:r>
      <w:r w:rsidRPr="00C16BD4">
        <w:rPr>
          <w:noProof/>
        </w:rPr>
        <w:fldChar w:fldCharType="end"/>
      </w:r>
    </w:p>
    <w:p w14:paraId="54A98567" w14:textId="4F95D142"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5</w:t>
      </w:r>
      <w:r>
        <w:rPr>
          <w:noProof/>
        </w:rPr>
        <w:tab/>
        <w:t>Undertaking personnel due diligence</w:t>
      </w:r>
      <w:r w:rsidRPr="00C16BD4">
        <w:rPr>
          <w:noProof/>
        </w:rPr>
        <w:tab/>
      </w:r>
      <w:r w:rsidRPr="00C16BD4">
        <w:rPr>
          <w:noProof/>
        </w:rPr>
        <w:fldChar w:fldCharType="begin"/>
      </w:r>
      <w:r w:rsidRPr="00C16BD4">
        <w:rPr>
          <w:noProof/>
        </w:rPr>
        <w:instrText xml:space="preserve"> PAGEREF _Toc198224968 \h </w:instrText>
      </w:r>
      <w:r w:rsidRPr="00C16BD4">
        <w:rPr>
          <w:noProof/>
        </w:rPr>
      </w:r>
      <w:r w:rsidRPr="00C16BD4">
        <w:rPr>
          <w:noProof/>
        </w:rPr>
        <w:fldChar w:fldCharType="separate"/>
      </w:r>
      <w:r w:rsidR="00EE271C">
        <w:rPr>
          <w:noProof/>
        </w:rPr>
        <w:t>35</w:t>
      </w:r>
      <w:r w:rsidRPr="00C16BD4">
        <w:rPr>
          <w:noProof/>
        </w:rPr>
        <w:fldChar w:fldCharType="end"/>
      </w:r>
    </w:p>
    <w:p w14:paraId="066F9611" w14:textId="5AFA739F"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6</w:t>
      </w:r>
      <w:r>
        <w:rPr>
          <w:noProof/>
        </w:rPr>
        <w:tab/>
        <w:t>Providing personnel training</w:t>
      </w:r>
      <w:r w:rsidRPr="00C16BD4">
        <w:rPr>
          <w:noProof/>
        </w:rPr>
        <w:tab/>
      </w:r>
      <w:r w:rsidRPr="00C16BD4">
        <w:rPr>
          <w:noProof/>
        </w:rPr>
        <w:fldChar w:fldCharType="begin"/>
      </w:r>
      <w:r w:rsidRPr="00C16BD4">
        <w:rPr>
          <w:noProof/>
        </w:rPr>
        <w:instrText xml:space="preserve"> PAGEREF _Toc198224969 \h </w:instrText>
      </w:r>
      <w:r w:rsidRPr="00C16BD4">
        <w:rPr>
          <w:noProof/>
        </w:rPr>
      </w:r>
      <w:r w:rsidRPr="00C16BD4">
        <w:rPr>
          <w:noProof/>
        </w:rPr>
        <w:fldChar w:fldCharType="separate"/>
      </w:r>
      <w:r w:rsidR="00EE271C">
        <w:rPr>
          <w:noProof/>
        </w:rPr>
        <w:t>36</w:t>
      </w:r>
      <w:r w:rsidRPr="00C16BD4">
        <w:rPr>
          <w:noProof/>
        </w:rPr>
        <w:fldChar w:fldCharType="end"/>
      </w:r>
    </w:p>
    <w:p w14:paraId="01DCAEE5" w14:textId="0C0365DF"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7</w:t>
      </w:r>
      <w:r>
        <w:rPr>
          <w:noProof/>
        </w:rPr>
        <w:tab/>
        <w:t>Independent evaluations</w:t>
      </w:r>
      <w:r w:rsidRPr="00C16BD4">
        <w:rPr>
          <w:noProof/>
        </w:rPr>
        <w:tab/>
      </w:r>
      <w:r w:rsidRPr="00C16BD4">
        <w:rPr>
          <w:noProof/>
        </w:rPr>
        <w:fldChar w:fldCharType="begin"/>
      </w:r>
      <w:r w:rsidRPr="00C16BD4">
        <w:rPr>
          <w:noProof/>
        </w:rPr>
        <w:instrText xml:space="preserve"> PAGEREF _Toc198224970 \h </w:instrText>
      </w:r>
      <w:r w:rsidRPr="00C16BD4">
        <w:rPr>
          <w:noProof/>
        </w:rPr>
      </w:r>
      <w:r w:rsidRPr="00C16BD4">
        <w:rPr>
          <w:noProof/>
        </w:rPr>
        <w:fldChar w:fldCharType="separate"/>
      </w:r>
      <w:r w:rsidR="00EE271C">
        <w:rPr>
          <w:noProof/>
        </w:rPr>
        <w:t>36</w:t>
      </w:r>
      <w:r w:rsidRPr="00C16BD4">
        <w:rPr>
          <w:noProof/>
        </w:rPr>
        <w:fldChar w:fldCharType="end"/>
      </w:r>
    </w:p>
    <w:p w14:paraId="0A2E3AD2" w14:textId="1DD4E87E"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8</w:t>
      </w:r>
      <w:r>
        <w:rPr>
          <w:noProof/>
        </w:rPr>
        <w:tab/>
        <w:t>Reviewing and updating AML/CTF policies following independent evaluation</w:t>
      </w:r>
      <w:r w:rsidRPr="00C16BD4">
        <w:rPr>
          <w:noProof/>
        </w:rPr>
        <w:tab/>
      </w:r>
      <w:r w:rsidRPr="00C16BD4">
        <w:rPr>
          <w:noProof/>
        </w:rPr>
        <w:fldChar w:fldCharType="begin"/>
      </w:r>
      <w:r w:rsidRPr="00C16BD4">
        <w:rPr>
          <w:noProof/>
        </w:rPr>
        <w:instrText xml:space="preserve"> PAGEREF _Toc198224971 \h </w:instrText>
      </w:r>
      <w:r w:rsidRPr="00C16BD4">
        <w:rPr>
          <w:noProof/>
        </w:rPr>
      </w:r>
      <w:r w:rsidRPr="00C16BD4">
        <w:rPr>
          <w:noProof/>
        </w:rPr>
        <w:fldChar w:fldCharType="separate"/>
      </w:r>
      <w:r w:rsidR="00EE271C">
        <w:rPr>
          <w:noProof/>
        </w:rPr>
        <w:t>37</w:t>
      </w:r>
      <w:r w:rsidRPr="00C16BD4">
        <w:rPr>
          <w:noProof/>
        </w:rPr>
        <w:fldChar w:fldCharType="end"/>
      </w:r>
    </w:p>
    <w:p w14:paraId="2A93438A" w14:textId="58F773BB"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9</w:t>
      </w:r>
      <w:r>
        <w:rPr>
          <w:noProof/>
        </w:rPr>
        <w:tab/>
        <w:t>Fulfilling reporting obligations</w:t>
      </w:r>
      <w:r w:rsidRPr="00C16BD4">
        <w:rPr>
          <w:noProof/>
        </w:rPr>
        <w:tab/>
      </w:r>
      <w:r w:rsidRPr="00C16BD4">
        <w:rPr>
          <w:noProof/>
        </w:rPr>
        <w:fldChar w:fldCharType="begin"/>
      </w:r>
      <w:r w:rsidRPr="00C16BD4">
        <w:rPr>
          <w:noProof/>
        </w:rPr>
        <w:instrText xml:space="preserve"> PAGEREF _Toc198224972 \h </w:instrText>
      </w:r>
      <w:r w:rsidRPr="00C16BD4">
        <w:rPr>
          <w:noProof/>
        </w:rPr>
      </w:r>
      <w:r w:rsidRPr="00C16BD4">
        <w:rPr>
          <w:noProof/>
        </w:rPr>
        <w:fldChar w:fldCharType="separate"/>
      </w:r>
      <w:r w:rsidR="00EE271C">
        <w:rPr>
          <w:noProof/>
        </w:rPr>
        <w:t>37</w:t>
      </w:r>
      <w:r w:rsidRPr="00C16BD4">
        <w:rPr>
          <w:noProof/>
        </w:rPr>
        <w:fldChar w:fldCharType="end"/>
      </w:r>
    </w:p>
    <w:p w14:paraId="6E92C6E8" w14:textId="64222B02"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10</w:t>
      </w:r>
      <w:r>
        <w:rPr>
          <w:noProof/>
        </w:rPr>
        <w:tab/>
        <w:t>Assessment of potential suspicious matters</w:t>
      </w:r>
      <w:r w:rsidRPr="00C16BD4">
        <w:rPr>
          <w:noProof/>
        </w:rPr>
        <w:tab/>
      </w:r>
      <w:r w:rsidRPr="00C16BD4">
        <w:rPr>
          <w:noProof/>
        </w:rPr>
        <w:fldChar w:fldCharType="begin"/>
      </w:r>
      <w:r w:rsidRPr="00C16BD4">
        <w:rPr>
          <w:noProof/>
        </w:rPr>
        <w:instrText xml:space="preserve"> PAGEREF _Toc198224973 \h </w:instrText>
      </w:r>
      <w:r w:rsidRPr="00C16BD4">
        <w:rPr>
          <w:noProof/>
        </w:rPr>
      </w:r>
      <w:r w:rsidRPr="00C16BD4">
        <w:rPr>
          <w:noProof/>
        </w:rPr>
        <w:fldChar w:fldCharType="separate"/>
      </w:r>
      <w:r w:rsidR="00EE271C">
        <w:rPr>
          <w:noProof/>
        </w:rPr>
        <w:t>37</w:t>
      </w:r>
      <w:r w:rsidRPr="00C16BD4">
        <w:rPr>
          <w:noProof/>
        </w:rPr>
        <w:fldChar w:fldCharType="end"/>
      </w:r>
    </w:p>
    <w:p w14:paraId="0FE5B5AC" w14:textId="55672090"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11</w:t>
      </w:r>
      <w:r>
        <w:rPr>
          <w:noProof/>
        </w:rPr>
        <w:tab/>
        <w:t>Actions requiring approval or that senior manager be informed</w:t>
      </w:r>
      <w:r w:rsidRPr="00C16BD4">
        <w:rPr>
          <w:noProof/>
        </w:rPr>
        <w:tab/>
      </w:r>
      <w:r w:rsidRPr="00C16BD4">
        <w:rPr>
          <w:noProof/>
        </w:rPr>
        <w:fldChar w:fldCharType="begin"/>
      </w:r>
      <w:r w:rsidRPr="00C16BD4">
        <w:rPr>
          <w:noProof/>
        </w:rPr>
        <w:instrText xml:space="preserve"> PAGEREF _Toc198224974 \h </w:instrText>
      </w:r>
      <w:r w:rsidRPr="00C16BD4">
        <w:rPr>
          <w:noProof/>
        </w:rPr>
      </w:r>
      <w:r w:rsidRPr="00C16BD4">
        <w:rPr>
          <w:noProof/>
        </w:rPr>
        <w:fldChar w:fldCharType="separate"/>
      </w:r>
      <w:r w:rsidR="00EE271C">
        <w:rPr>
          <w:noProof/>
        </w:rPr>
        <w:t>37</w:t>
      </w:r>
      <w:r w:rsidRPr="00C16BD4">
        <w:rPr>
          <w:noProof/>
        </w:rPr>
        <w:fldChar w:fldCharType="end"/>
      </w:r>
    </w:p>
    <w:p w14:paraId="7A773B42" w14:textId="26609EBC"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12</w:t>
      </w:r>
      <w:r>
        <w:rPr>
          <w:noProof/>
        </w:rPr>
        <w:tab/>
        <w:t>Policies relating to financial sanctions</w:t>
      </w:r>
      <w:r w:rsidRPr="00C16BD4">
        <w:rPr>
          <w:noProof/>
        </w:rPr>
        <w:tab/>
      </w:r>
      <w:r w:rsidRPr="00C16BD4">
        <w:rPr>
          <w:noProof/>
        </w:rPr>
        <w:fldChar w:fldCharType="begin"/>
      </w:r>
      <w:r w:rsidRPr="00C16BD4">
        <w:rPr>
          <w:noProof/>
        </w:rPr>
        <w:instrText xml:space="preserve"> PAGEREF _Toc198224975 \h </w:instrText>
      </w:r>
      <w:r w:rsidRPr="00C16BD4">
        <w:rPr>
          <w:noProof/>
        </w:rPr>
      </w:r>
      <w:r w:rsidRPr="00C16BD4">
        <w:rPr>
          <w:noProof/>
        </w:rPr>
        <w:fldChar w:fldCharType="separate"/>
      </w:r>
      <w:r w:rsidR="00EE271C">
        <w:rPr>
          <w:noProof/>
        </w:rPr>
        <w:t>39</w:t>
      </w:r>
      <w:r w:rsidRPr="00C16BD4">
        <w:rPr>
          <w:noProof/>
        </w:rPr>
        <w:fldChar w:fldCharType="end"/>
      </w:r>
    </w:p>
    <w:p w14:paraId="4B294085" w14:textId="6573EE02"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13</w:t>
      </w:r>
      <w:r>
        <w:rPr>
          <w:noProof/>
        </w:rPr>
        <w:tab/>
        <w:t>Policies relating to the obligations of ordering institutions relating to virtual asset transfers</w:t>
      </w:r>
      <w:r w:rsidRPr="00C16BD4">
        <w:rPr>
          <w:noProof/>
        </w:rPr>
        <w:tab/>
      </w:r>
      <w:r w:rsidRPr="00C16BD4">
        <w:rPr>
          <w:noProof/>
        </w:rPr>
        <w:fldChar w:fldCharType="begin"/>
      </w:r>
      <w:r w:rsidRPr="00C16BD4">
        <w:rPr>
          <w:noProof/>
        </w:rPr>
        <w:instrText xml:space="preserve"> PAGEREF _Toc198224976 \h </w:instrText>
      </w:r>
      <w:r w:rsidRPr="00C16BD4">
        <w:rPr>
          <w:noProof/>
        </w:rPr>
      </w:r>
      <w:r w:rsidRPr="00C16BD4">
        <w:rPr>
          <w:noProof/>
        </w:rPr>
        <w:fldChar w:fldCharType="separate"/>
      </w:r>
      <w:r w:rsidR="00EE271C">
        <w:rPr>
          <w:noProof/>
        </w:rPr>
        <w:t>39</w:t>
      </w:r>
      <w:r w:rsidRPr="00C16BD4">
        <w:rPr>
          <w:noProof/>
        </w:rPr>
        <w:fldChar w:fldCharType="end"/>
      </w:r>
    </w:p>
    <w:p w14:paraId="089D1DBD" w14:textId="38903B91"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14</w:t>
      </w:r>
      <w:r>
        <w:rPr>
          <w:noProof/>
        </w:rPr>
        <w:tab/>
        <w:t>Policies relating to the obligations of beneficiary institutions</w:t>
      </w:r>
      <w:r w:rsidRPr="00C16BD4">
        <w:rPr>
          <w:noProof/>
        </w:rPr>
        <w:tab/>
      </w:r>
      <w:r w:rsidRPr="00C16BD4">
        <w:rPr>
          <w:noProof/>
        </w:rPr>
        <w:fldChar w:fldCharType="begin"/>
      </w:r>
      <w:r w:rsidRPr="00C16BD4">
        <w:rPr>
          <w:noProof/>
        </w:rPr>
        <w:instrText xml:space="preserve"> PAGEREF _Toc198224977 \h </w:instrText>
      </w:r>
      <w:r w:rsidRPr="00C16BD4">
        <w:rPr>
          <w:noProof/>
        </w:rPr>
      </w:r>
      <w:r w:rsidRPr="00C16BD4">
        <w:rPr>
          <w:noProof/>
        </w:rPr>
        <w:fldChar w:fldCharType="separate"/>
      </w:r>
      <w:r w:rsidR="00EE271C">
        <w:rPr>
          <w:noProof/>
        </w:rPr>
        <w:t>40</w:t>
      </w:r>
      <w:r w:rsidRPr="00C16BD4">
        <w:rPr>
          <w:noProof/>
        </w:rPr>
        <w:fldChar w:fldCharType="end"/>
      </w:r>
    </w:p>
    <w:p w14:paraId="0E8A92F6" w14:textId="7F95D1BB"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15</w:t>
      </w:r>
      <w:r>
        <w:rPr>
          <w:noProof/>
        </w:rPr>
        <w:tab/>
        <w:t>Policies relating to the obligations of intermediary institutions</w:t>
      </w:r>
      <w:r w:rsidRPr="00C16BD4">
        <w:rPr>
          <w:noProof/>
        </w:rPr>
        <w:tab/>
      </w:r>
      <w:r w:rsidRPr="00C16BD4">
        <w:rPr>
          <w:noProof/>
        </w:rPr>
        <w:fldChar w:fldCharType="begin"/>
      </w:r>
      <w:r w:rsidRPr="00C16BD4">
        <w:rPr>
          <w:noProof/>
        </w:rPr>
        <w:instrText xml:space="preserve"> PAGEREF _Toc198224978 \h </w:instrText>
      </w:r>
      <w:r w:rsidRPr="00C16BD4">
        <w:rPr>
          <w:noProof/>
        </w:rPr>
      </w:r>
      <w:r w:rsidRPr="00C16BD4">
        <w:rPr>
          <w:noProof/>
        </w:rPr>
        <w:fldChar w:fldCharType="separate"/>
      </w:r>
      <w:r w:rsidR="00EE271C">
        <w:rPr>
          <w:noProof/>
        </w:rPr>
        <w:t>41</w:t>
      </w:r>
      <w:r w:rsidRPr="00C16BD4">
        <w:rPr>
          <w:noProof/>
        </w:rPr>
        <w:fldChar w:fldCharType="end"/>
      </w:r>
    </w:p>
    <w:p w14:paraId="75349CCA" w14:textId="43DA3958"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16</w:t>
      </w:r>
      <w:r>
        <w:rPr>
          <w:noProof/>
        </w:rPr>
        <w:tab/>
        <w:t>Policies relating to customer due diligence for real estate transactions</w:t>
      </w:r>
      <w:r w:rsidRPr="00C16BD4">
        <w:rPr>
          <w:noProof/>
        </w:rPr>
        <w:tab/>
      </w:r>
      <w:r w:rsidRPr="00C16BD4">
        <w:rPr>
          <w:noProof/>
        </w:rPr>
        <w:fldChar w:fldCharType="begin"/>
      </w:r>
      <w:r w:rsidRPr="00C16BD4">
        <w:rPr>
          <w:noProof/>
        </w:rPr>
        <w:instrText xml:space="preserve"> PAGEREF _Toc198224979 \h </w:instrText>
      </w:r>
      <w:r w:rsidRPr="00C16BD4">
        <w:rPr>
          <w:noProof/>
        </w:rPr>
      </w:r>
      <w:r w:rsidRPr="00C16BD4">
        <w:rPr>
          <w:noProof/>
        </w:rPr>
        <w:fldChar w:fldCharType="separate"/>
      </w:r>
      <w:r w:rsidR="00EE271C">
        <w:rPr>
          <w:noProof/>
        </w:rPr>
        <w:t>41</w:t>
      </w:r>
      <w:r w:rsidRPr="00C16BD4">
        <w:rPr>
          <w:noProof/>
        </w:rPr>
        <w:fldChar w:fldCharType="end"/>
      </w:r>
    </w:p>
    <w:p w14:paraId="7E6FDEC6" w14:textId="3C31A80D"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17</w:t>
      </w:r>
      <w:r>
        <w:rPr>
          <w:noProof/>
        </w:rPr>
        <w:tab/>
        <w:t>Record</w:t>
      </w:r>
      <w:r>
        <w:rPr>
          <w:noProof/>
        </w:rPr>
        <w:noBreakHyphen/>
        <w:t>keeping by lead entity of reporting group</w:t>
      </w:r>
      <w:r w:rsidRPr="00C16BD4">
        <w:rPr>
          <w:noProof/>
        </w:rPr>
        <w:tab/>
      </w:r>
      <w:r w:rsidRPr="00C16BD4">
        <w:rPr>
          <w:noProof/>
        </w:rPr>
        <w:fldChar w:fldCharType="begin"/>
      </w:r>
      <w:r w:rsidRPr="00C16BD4">
        <w:rPr>
          <w:noProof/>
        </w:rPr>
        <w:instrText xml:space="preserve"> PAGEREF _Toc198224980 \h </w:instrText>
      </w:r>
      <w:r w:rsidRPr="00C16BD4">
        <w:rPr>
          <w:noProof/>
        </w:rPr>
      </w:r>
      <w:r w:rsidRPr="00C16BD4">
        <w:rPr>
          <w:noProof/>
        </w:rPr>
        <w:fldChar w:fldCharType="separate"/>
      </w:r>
      <w:r w:rsidR="00EE271C">
        <w:rPr>
          <w:noProof/>
        </w:rPr>
        <w:t>41</w:t>
      </w:r>
      <w:r w:rsidRPr="00C16BD4">
        <w:rPr>
          <w:noProof/>
        </w:rPr>
        <w:fldChar w:fldCharType="end"/>
      </w:r>
    </w:p>
    <w:p w14:paraId="24C259A0" w14:textId="640C1E49"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3—AML/CTF compliance officers</w:t>
      </w:r>
      <w:r w:rsidRPr="00C16BD4">
        <w:rPr>
          <w:b w:val="0"/>
          <w:noProof/>
          <w:sz w:val="18"/>
        </w:rPr>
        <w:tab/>
      </w:r>
      <w:r w:rsidRPr="00C16BD4">
        <w:rPr>
          <w:b w:val="0"/>
          <w:noProof/>
          <w:sz w:val="18"/>
        </w:rPr>
        <w:fldChar w:fldCharType="begin"/>
      </w:r>
      <w:r w:rsidRPr="00C16BD4">
        <w:rPr>
          <w:b w:val="0"/>
          <w:noProof/>
          <w:sz w:val="18"/>
        </w:rPr>
        <w:instrText xml:space="preserve"> PAGEREF _Toc198224981 \h </w:instrText>
      </w:r>
      <w:r w:rsidRPr="00C16BD4">
        <w:rPr>
          <w:b w:val="0"/>
          <w:noProof/>
          <w:sz w:val="18"/>
        </w:rPr>
      </w:r>
      <w:r w:rsidRPr="00C16BD4">
        <w:rPr>
          <w:b w:val="0"/>
          <w:noProof/>
          <w:sz w:val="18"/>
        </w:rPr>
        <w:fldChar w:fldCharType="separate"/>
      </w:r>
      <w:r w:rsidR="00EE271C">
        <w:rPr>
          <w:b w:val="0"/>
          <w:noProof/>
          <w:sz w:val="18"/>
        </w:rPr>
        <w:t>42</w:t>
      </w:r>
      <w:r w:rsidRPr="00C16BD4">
        <w:rPr>
          <w:b w:val="0"/>
          <w:noProof/>
          <w:sz w:val="18"/>
        </w:rPr>
        <w:fldChar w:fldCharType="end"/>
      </w:r>
    </w:p>
    <w:p w14:paraId="4EF5272A" w14:textId="614CB294"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18</w:t>
      </w:r>
      <w:r>
        <w:rPr>
          <w:noProof/>
        </w:rPr>
        <w:tab/>
        <w:t>AML/CTF compliance officer requirements—matters to have regard to in determining whether a fit and proper person</w:t>
      </w:r>
      <w:r w:rsidRPr="00C16BD4">
        <w:rPr>
          <w:noProof/>
        </w:rPr>
        <w:tab/>
      </w:r>
      <w:r w:rsidRPr="00C16BD4">
        <w:rPr>
          <w:noProof/>
        </w:rPr>
        <w:fldChar w:fldCharType="begin"/>
      </w:r>
      <w:r w:rsidRPr="00C16BD4">
        <w:rPr>
          <w:noProof/>
        </w:rPr>
        <w:instrText xml:space="preserve"> PAGEREF _Toc198224982 \h </w:instrText>
      </w:r>
      <w:r w:rsidRPr="00C16BD4">
        <w:rPr>
          <w:noProof/>
        </w:rPr>
      </w:r>
      <w:r w:rsidRPr="00C16BD4">
        <w:rPr>
          <w:noProof/>
        </w:rPr>
        <w:fldChar w:fldCharType="separate"/>
      </w:r>
      <w:r w:rsidR="00EE271C">
        <w:rPr>
          <w:noProof/>
        </w:rPr>
        <w:t>42</w:t>
      </w:r>
      <w:r w:rsidRPr="00C16BD4">
        <w:rPr>
          <w:noProof/>
        </w:rPr>
        <w:fldChar w:fldCharType="end"/>
      </w:r>
    </w:p>
    <w:p w14:paraId="2DEC6082" w14:textId="7CCB7601"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4—AML/CTF program documentation</w:t>
      </w:r>
      <w:r w:rsidRPr="00C16BD4">
        <w:rPr>
          <w:b w:val="0"/>
          <w:noProof/>
          <w:sz w:val="18"/>
        </w:rPr>
        <w:tab/>
      </w:r>
      <w:r w:rsidRPr="00C16BD4">
        <w:rPr>
          <w:b w:val="0"/>
          <w:noProof/>
          <w:sz w:val="18"/>
        </w:rPr>
        <w:fldChar w:fldCharType="begin"/>
      </w:r>
      <w:r w:rsidRPr="00C16BD4">
        <w:rPr>
          <w:b w:val="0"/>
          <w:noProof/>
          <w:sz w:val="18"/>
        </w:rPr>
        <w:instrText xml:space="preserve"> PAGEREF _Toc198224983 \h </w:instrText>
      </w:r>
      <w:r w:rsidRPr="00C16BD4">
        <w:rPr>
          <w:b w:val="0"/>
          <w:noProof/>
          <w:sz w:val="18"/>
        </w:rPr>
      </w:r>
      <w:r w:rsidRPr="00C16BD4">
        <w:rPr>
          <w:b w:val="0"/>
          <w:noProof/>
          <w:sz w:val="18"/>
        </w:rPr>
        <w:fldChar w:fldCharType="separate"/>
      </w:r>
      <w:r w:rsidR="00EE271C">
        <w:rPr>
          <w:b w:val="0"/>
          <w:noProof/>
          <w:sz w:val="18"/>
        </w:rPr>
        <w:t>43</w:t>
      </w:r>
      <w:r w:rsidRPr="00C16BD4">
        <w:rPr>
          <w:b w:val="0"/>
          <w:noProof/>
          <w:sz w:val="18"/>
        </w:rPr>
        <w:fldChar w:fldCharType="end"/>
      </w:r>
    </w:p>
    <w:p w14:paraId="603F246E" w14:textId="1BA5004B"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19</w:t>
      </w:r>
      <w:r>
        <w:rPr>
          <w:noProof/>
        </w:rPr>
        <w:tab/>
        <w:t>Time period for AML/CTF program documentation</w:t>
      </w:r>
      <w:r w:rsidRPr="00C16BD4">
        <w:rPr>
          <w:noProof/>
        </w:rPr>
        <w:tab/>
      </w:r>
      <w:r w:rsidRPr="00C16BD4">
        <w:rPr>
          <w:noProof/>
        </w:rPr>
        <w:fldChar w:fldCharType="begin"/>
      </w:r>
      <w:r w:rsidRPr="00C16BD4">
        <w:rPr>
          <w:noProof/>
        </w:rPr>
        <w:instrText xml:space="preserve"> PAGEREF _Toc198224984 \h </w:instrText>
      </w:r>
      <w:r w:rsidRPr="00C16BD4">
        <w:rPr>
          <w:noProof/>
        </w:rPr>
      </w:r>
      <w:r w:rsidRPr="00C16BD4">
        <w:rPr>
          <w:noProof/>
        </w:rPr>
        <w:fldChar w:fldCharType="separate"/>
      </w:r>
      <w:r w:rsidR="00EE271C">
        <w:rPr>
          <w:noProof/>
        </w:rPr>
        <w:t>43</w:t>
      </w:r>
      <w:r w:rsidRPr="00C16BD4">
        <w:rPr>
          <w:noProof/>
        </w:rPr>
        <w:fldChar w:fldCharType="end"/>
      </w:r>
    </w:p>
    <w:p w14:paraId="71657B8E" w14:textId="0907385A" w:rsidR="00C16BD4" w:rsidRDefault="00C16BD4">
      <w:pPr>
        <w:pStyle w:val="TOC2"/>
        <w:rPr>
          <w:rFonts w:asciiTheme="minorHAnsi" w:eastAsiaTheme="minorEastAsia" w:hAnsiTheme="minorHAnsi" w:cstheme="minorBidi"/>
          <w:b w:val="0"/>
          <w:noProof/>
          <w:kern w:val="2"/>
          <w:szCs w:val="24"/>
          <w14:ligatures w14:val="standardContextual"/>
        </w:rPr>
      </w:pPr>
      <w:r>
        <w:rPr>
          <w:noProof/>
        </w:rPr>
        <w:t>Part 5—Customer due diligence</w:t>
      </w:r>
      <w:r w:rsidRPr="00C16BD4">
        <w:rPr>
          <w:b w:val="0"/>
          <w:noProof/>
          <w:sz w:val="18"/>
        </w:rPr>
        <w:tab/>
      </w:r>
      <w:r w:rsidRPr="00C16BD4">
        <w:rPr>
          <w:b w:val="0"/>
          <w:noProof/>
          <w:sz w:val="18"/>
        </w:rPr>
        <w:fldChar w:fldCharType="begin"/>
      </w:r>
      <w:r w:rsidRPr="00C16BD4">
        <w:rPr>
          <w:b w:val="0"/>
          <w:noProof/>
          <w:sz w:val="18"/>
        </w:rPr>
        <w:instrText xml:space="preserve"> PAGEREF _Toc198224985 \h </w:instrText>
      </w:r>
      <w:r w:rsidRPr="00C16BD4">
        <w:rPr>
          <w:b w:val="0"/>
          <w:noProof/>
          <w:sz w:val="18"/>
        </w:rPr>
      </w:r>
      <w:r w:rsidRPr="00C16BD4">
        <w:rPr>
          <w:b w:val="0"/>
          <w:noProof/>
          <w:sz w:val="18"/>
        </w:rPr>
        <w:fldChar w:fldCharType="separate"/>
      </w:r>
      <w:r w:rsidR="00EE271C">
        <w:rPr>
          <w:b w:val="0"/>
          <w:noProof/>
          <w:sz w:val="18"/>
        </w:rPr>
        <w:t>44</w:t>
      </w:r>
      <w:r w:rsidRPr="00C16BD4">
        <w:rPr>
          <w:b w:val="0"/>
          <w:noProof/>
          <w:sz w:val="18"/>
        </w:rPr>
        <w:fldChar w:fldCharType="end"/>
      </w:r>
    </w:p>
    <w:p w14:paraId="5D41F07E" w14:textId="0B7D1D5B"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1—Matters to be established in initial customer due diligence</w:t>
      </w:r>
      <w:r w:rsidRPr="00C16BD4">
        <w:rPr>
          <w:b w:val="0"/>
          <w:noProof/>
          <w:sz w:val="18"/>
        </w:rPr>
        <w:tab/>
      </w:r>
      <w:r w:rsidRPr="00C16BD4">
        <w:rPr>
          <w:b w:val="0"/>
          <w:noProof/>
          <w:sz w:val="18"/>
        </w:rPr>
        <w:fldChar w:fldCharType="begin"/>
      </w:r>
      <w:r w:rsidRPr="00C16BD4">
        <w:rPr>
          <w:b w:val="0"/>
          <w:noProof/>
          <w:sz w:val="18"/>
        </w:rPr>
        <w:instrText xml:space="preserve"> PAGEREF _Toc198224986 \h </w:instrText>
      </w:r>
      <w:r w:rsidRPr="00C16BD4">
        <w:rPr>
          <w:b w:val="0"/>
          <w:noProof/>
          <w:sz w:val="18"/>
        </w:rPr>
      </w:r>
      <w:r w:rsidRPr="00C16BD4">
        <w:rPr>
          <w:b w:val="0"/>
          <w:noProof/>
          <w:sz w:val="18"/>
        </w:rPr>
        <w:fldChar w:fldCharType="separate"/>
      </w:r>
      <w:r w:rsidR="00EE271C">
        <w:rPr>
          <w:b w:val="0"/>
          <w:noProof/>
          <w:sz w:val="18"/>
        </w:rPr>
        <w:t>44</w:t>
      </w:r>
      <w:r w:rsidRPr="00C16BD4">
        <w:rPr>
          <w:b w:val="0"/>
          <w:noProof/>
          <w:sz w:val="18"/>
        </w:rPr>
        <w:fldChar w:fldCharType="end"/>
      </w:r>
    </w:p>
    <w:p w14:paraId="45B3FFFE" w14:textId="63D3542A"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w:t>
      </w:r>
      <w:r>
        <w:rPr>
          <w:noProof/>
        </w:rPr>
        <w:tab/>
        <w:t>Establishing the identity of the customer</w:t>
      </w:r>
      <w:r w:rsidRPr="00C16BD4">
        <w:rPr>
          <w:noProof/>
        </w:rPr>
        <w:tab/>
      </w:r>
      <w:r w:rsidRPr="00C16BD4">
        <w:rPr>
          <w:noProof/>
        </w:rPr>
        <w:fldChar w:fldCharType="begin"/>
      </w:r>
      <w:r w:rsidRPr="00C16BD4">
        <w:rPr>
          <w:noProof/>
        </w:rPr>
        <w:instrText xml:space="preserve"> PAGEREF _Toc198224987 \h </w:instrText>
      </w:r>
      <w:r w:rsidRPr="00C16BD4">
        <w:rPr>
          <w:noProof/>
        </w:rPr>
      </w:r>
      <w:r w:rsidRPr="00C16BD4">
        <w:rPr>
          <w:noProof/>
        </w:rPr>
        <w:fldChar w:fldCharType="separate"/>
      </w:r>
      <w:r w:rsidR="00EE271C">
        <w:rPr>
          <w:noProof/>
        </w:rPr>
        <w:t>44</w:t>
      </w:r>
      <w:r w:rsidRPr="00C16BD4">
        <w:rPr>
          <w:noProof/>
        </w:rPr>
        <w:fldChar w:fldCharType="end"/>
      </w:r>
    </w:p>
    <w:p w14:paraId="25709488" w14:textId="5B1AAE40"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w:t>
      </w:r>
      <w:r>
        <w:rPr>
          <w:noProof/>
        </w:rPr>
        <w:tab/>
        <w:t>Additional matters for initial customer due diligence</w:t>
      </w:r>
      <w:r w:rsidRPr="00C16BD4">
        <w:rPr>
          <w:noProof/>
        </w:rPr>
        <w:tab/>
      </w:r>
      <w:r w:rsidRPr="00C16BD4">
        <w:rPr>
          <w:noProof/>
        </w:rPr>
        <w:fldChar w:fldCharType="begin"/>
      </w:r>
      <w:r w:rsidRPr="00C16BD4">
        <w:rPr>
          <w:noProof/>
        </w:rPr>
        <w:instrText xml:space="preserve"> PAGEREF _Toc198224988 \h </w:instrText>
      </w:r>
      <w:r w:rsidRPr="00C16BD4">
        <w:rPr>
          <w:noProof/>
        </w:rPr>
      </w:r>
      <w:r w:rsidRPr="00C16BD4">
        <w:rPr>
          <w:noProof/>
        </w:rPr>
        <w:fldChar w:fldCharType="separate"/>
      </w:r>
      <w:r w:rsidR="00EE271C">
        <w:rPr>
          <w:noProof/>
        </w:rPr>
        <w:t>44</w:t>
      </w:r>
      <w:r w:rsidRPr="00C16BD4">
        <w:rPr>
          <w:noProof/>
        </w:rPr>
        <w:fldChar w:fldCharType="end"/>
      </w:r>
    </w:p>
    <w:p w14:paraId="6AFEF667" w14:textId="57C13CD9"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w:t>
      </w:r>
      <w:r>
        <w:rPr>
          <w:noProof/>
        </w:rPr>
        <w:tab/>
        <w:t>Establishing the identity of agents, beneficial owners, trustees etc.</w:t>
      </w:r>
      <w:r w:rsidRPr="00C16BD4">
        <w:rPr>
          <w:noProof/>
        </w:rPr>
        <w:tab/>
      </w:r>
      <w:r w:rsidRPr="00C16BD4">
        <w:rPr>
          <w:noProof/>
        </w:rPr>
        <w:fldChar w:fldCharType="begin"/>
      </w:r>
      <w:r w:rsidRPr="00C16BD4">
        <w:rPr>
          <w:noProof/>
        </w:rPr>
        <w:instrText xml:space="preserve"> PAGEREF _Toc198224989 \h </w:instrText>
      </w:r>
      <w:r w:rsidRPr="00C16BD4">
        <w:rPr>
          <w:noProof/>
        </w:rPr>
      </w:r>
      <w:r w:rsidRPr="00C16BD4">
        <w:rPr>
          <w:noProof/>
        </w:rPr>
        <w:fldChar w:fldCharType="separate"/>
      </w:r>
      <w:r w:rsidR="00EE271C">
        <w:rPr>
          <w:noProof/>
        </w:rPr>
        <w:t>46</w:t>
      </w:r>
      <w:r w:rsidRPr="00C16BD4">
        <w:rPr>
          <w:noProof/>
        </w:rPr>
        <w:fldChar w:fldCharType="end"/>
      </w:r>
    </w:p>
    <w:p w14:paraId="523FB4D1" w14:textId="0C6005BA"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2—Simplified and enhanced customer due diligence</w:t>
      </w:r>
      <w:r w:rsidRPr="00C16BD4">
        <w:rPr>
          <w:b w:val="0"/>
          <w:noProof/>
          <w:sz w:val="18"/>
        </w:rPr>
        <w:tab/>
      </w:r>
      <w:r w:rsidRPr="00C16BD4">
        <w:rPr>
          <w:b w:val="0"/>
          <w:noProof/>
          <w:sz w:val="18"/>
        </w:rPr>
        <w:fldChar w:fldCharType="begin"/>
      </w:r>
      <w:r w:rsidRPr="00C16BD4">
        <w:rPr>
          <w:b w:val="0"/>
          <w:noProof/>
          <w:sz w:val="18"/>
        </w:rPr>
        <w:instrText xml:space="preserve"> PAGEREF _Toc198224990 \h </w:instrText>
      </w:r>
      <w:r w:rsidRPr="00C16BD4">
        <w:rPr>
          <w:b w:val="0"/>
          <w:noProof/>
          <w:sz w:val="18"/>
        </w:rPr>
      </w:r>
      <w:r w:rsidRPr="00C16BD4">
        <w:rPr>
          <w:b w:val="0"/>
          <w:noProof/>
          <w:sz w:val="18"/>
        </w:rPr>
        <w:fldChar w:fldCharType="separate"/>
      </w:r>
      <w:r w:rsidR="00EE271C">
        <w:rPr>
          <w:b w:val="0"/>
          <w:noProof/>
          <w:sz w:val="18"/>
        </w:rPr>
        <w:t>47</w:t>
      </w:r>
      <w:r w:rsidRPr="00C16BD4">
        <w:rPr>
          <w:b w:val="0"/>
          <w:noProof/>
          <w:sz w:val="18"/>
        </w:rPr>
        <w:fldChar w:fldCharType="end"/>
      </w:r>
    </w:p>
    <w:p w14:paraId="7108A93D" w14:textId="54C9F0FF"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4</w:t>
      </w:r>
      <w:r>
        <w:rPr>
          <w:noProof/>
        </w:rPr>
        <w:tab/>
        <w:t>Simplified customer due diligence requirements</w:t>
      </w:r>
      <w:r w:rsidRPr="00C16BD4">
        <w:rPr>
          <w:noProof/>
        </w:rPr>
        <w:tab/>
      </w:r>
      <w:r w:rsidRPr="00C16BD4">
        <w:rPr>
          <w:noProof/>
        </w:rPr>
        <w:fldChar w:fldCharType="begin"/>
      </w:r>
      <w:r w:rsidRPr="00C16BD4">
        <w:rPr>
          <w:noProof/>
        </w:rPr>
        <w:instrText xml:space="preserve"> PAGEREF _Toc198224991 \h </w:instrText>
      </w:r>
      <w:r w:rsidRPr="00C16BD4">
        <w:rPr>
          <w:noProof/>
        </w:rPr>
      </w:r>
      <w:r w:rsidRPr="00C16BD4">
        <w:rPr>
          <w:noProof/>
        </w:rPr>
        <w:fldChar w:fldCharType="separate"/>
      </w:r>
      <w:r w:rsidR="00EE271C">
        <w:rPr>
          <w:noProof/>
        </w:rPr>
        <w:t>47</w:t>
      </w:r>
      <w:r w:rsidRPr="00C16BD4">
        <w:rPr>
          <w:noProof/>
        </w:rPr>
        <w:fldChar w:fldCharType="end"/>
      </w:r>
    </w:p>
    <w:p w14:paraId="745177E7" w14:textId="4A871175"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5</w:t>
      </w:r>
      <w:r>
        <w:rPr>
          <w:noProof/>
        </w:rPr>
        <w:tab/>
        <w:t>Customers for whom enhanced customer due diligence is required</w:t>
      </w:r>
      <w:r w:rsidRPr="00C16BD4">
        <w:rPr>
          <w:noProof/>
        </w:rPr>
        <w:tab/>
      </w:r>
      <w:r w:rsidRPr="00C16BD4">
        <w:rPr>
          <w:noProof/>
        </w:rPr>
        <w:fldChar w:fldCharType="begin"/>
      </w:r>
      <w:r w:rsidRPr="00C16BD4">
        <w:rPr>
          <w:noProof/>
        </w:rPr>
        <w:instrText xml:space="preserve"> PAGEREF _Toc198224992 \h </w:instrText>
      </w:r>
      <w:r w:rsidRPr="00C16BD4">
        <w:rPr>
          <w:noProof/>
        </w:rPr>
      </w:r>
      <w:r w:rsidRPr="00C16BD4">
        <w:rPr>
          <w:noProof/>
        </w:rPr>
        <w:fldChar w:fldCharType="separate"/>
      </w:r>
      <w:r w:rsidR="00EE271C">
        <w:rPr>
          <w:noProof/>
        </w:rPr>
        <w:t>47</w:t>
      </w:r>
      <w:r w:rsidRPr="00C16BD4">
        <w:rPr>
          <w:noProof/>
        </w:rPr>
        <w:fldChar w:fldCharType="end"/>
      </w:r>
    </w:p>
    <w:p w14:paraId="7471C4BD" w14:textId="61B37B5D"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3—Exemptions from initial customer due diligence</w:t>
      </w:r>
      <w:r w:rsidRPr="00C16BD4">
        <w:rPr>
          <w:b w:val="0"/>
          <w:noProof/>
          <w:sz w:val="18"/>
        </w:rPr>
        <w:tab/>
      </w:r>
      <w:r w:rsidRPr="00C16BD4">
        <w:rPr>
          <w:b w:val="0"/>
          <w:noProof/>
          <w:sz w:val="18"/>
        </w:rPr>
        <w:fldChar w:fldCharType="begin"/>
      </w:r>
      <w:r w:rsidRPr="00C16BD4">
        <w:rPr>
          <w:b w:val="0"/>
          <w:noProof/>
          <w:sz w:val="18"/>
        </w:rPr>
        <w:instrText xml:space="preserve"> PAGEREF _Toc198224993 \h </w:instrText>
      </w:r>
      <w:r w:rsidRPr="00C16BD4">
        <w:rPr>
          <w:b w:val="0"/>
          <w:noProof/>
          <w:sz w:val="18"/>
        </w:rPr>
      </w:r>
      <w:r w:rsidRPr="00C16BD4">
        <w:rPr>
          <w:b w:val="0"/>
          <w:noProof/>
          <w:sz w:val="18"/>
        </w:rPr>
        <w:fldChar w:fldCharType="separate"/>
      </w:r>
      <w:r w:rsidR="00EE271C">
        <w:rPr>
          <w:b w:val="0"/>
          <w:noProof/>
          <w:sz w:val="18"/>
        </w:rPr>
        <w:t>48</w:t>
      </w:r>
      <w:r w:rsidRPr="00C16BD4">
        <w:rPr>
          <w:b w:val="0"/>
          <w:noProof/>
          <w:sz w:val="18"/>
        </w:rPr>
        <w:fldChar w:fldCharType="end"/>
      </w:r>
    </w:p>
    <w:p w14:paraId="4B956F2F" w14:textId="6DBD7DC6"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6</w:t>
      </w:r>
      <w:r>
        <w:rPr>
          <w:noProof/>
        </w:rPr>
        <w:tab/>
        <w:t>Delayed verification for certain identification requirements—service provided in Australia</w:t>
      </w:r>
      <w:r w:rsidRPr="00C16BD4">
        <w:rPr>
          <w:noProof/>
        </w:rPr>
        <w:tab/>
      </w:r>
      <w:r w:rsidRPr="00C16BD4">
        <w:rPr>
          <w:noProof/>
        </w:rPr>
        <w:fldChar w:fldCharType="begin"/>
      </w:r>
      <w:r w:rsidRPr="00C16BD4">
        <w:rPr>
          <w:noProof/>
        </w:rPr>
        <w:instrText xml:space="preserve"> PAGEREF _Toc198224994 \h </w:instrText>
      </w:r>
      <w:r w:rsidRPr="00C16BD4">
        <w:rPr>
          <w:noProof/>
        </w:rPr>
      </w:r>
      <w:r w:rsidRPr="00C16BD4">
        <w:rPr>
          <w:noProof/>
        </w:rPr>
        <w:fldChar w:fldCharType="separate"/>
      </w:r>
      <w:r w:rsidR="00EE271C">
        <w:rPr>
          <w:noProof/>
        </w:rPr>
        <w:t>48</w:t>
      </w:r>
      <w:r w:rsidRPr="00C16BD4">
        <w:rPr>
          <w:noProof/>
        </w:rPr>
        <w:fldChar w:fldCharType="end"/>
      </w:r>
    </w:p>
    <w:p w14:paraId="3ED746E6" w14:textId="1DC0B26A"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7</w:t>
      </w:r>
      <w:r>
        <w:rPr>
          <w:noProof/>
        </w:rPr>
        <w:tab/>
        <w:t>Delayed initial due diligence—real estate transactions</w:t>
      </w:r>
      <w:r w:rsidRPr="00C16BD4">
        <w:rPr>
          <w:noProof/>
        </w:rPr>
        <w:tab/>
      </w:r>
      <w:r w:rsidRPr="00C16BD4">
        <w:rPr>
          <w:noProof/>
        </w:rPr>
        <w:fldChar w:fldCharType="begin"/>
      </w:r>
      <w:r w:rsidRPr="00C16BD4">
        <w:rPr>
          <w:noProof/>
        </w:rPr>
        <w:instrText xml:space="preserve"> PAGEREF _Toc198224995 \h </w:instrText>
      </w:r>
      <w:r w:rsidRPr="00C16BD4">
        <w:rPr>
          <w:noProof/>
        </w:rPr>
      </w:r>
      <w:r w:rsidRPr="00C16BD4">
        <w:rPr>
          <w:noProof/>
        </w:rPr>
        <w:fldChar w:fldCharType="separate"/>
      </w:r>
      <w:r w:rsidR="00EE271C">
        <w:rPr>
          <w:noProof/>
        </w:rPr>
        <w:t>48</w:t>
      </w:r>
      <w:r w:rsidRPr="00C16BD4">
        <w:rPr>
          <w:noProof/>
        </w:rPr>
        <w:fldChar w:fldCharType="end"/>
      </w:r>
    </w:p>
    <w:p w14:paraId="63C7C3D0" w14:textId="25286184"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8</w:t>
      </w:r>
      <w:r>
        <w:rPr>
          <w:noProof/>
        </w:rPr>
        <w:tab/>
        <w:t>Delayed initial due diligence—service provided in foreign country</w:t>
      </w:r>
      <w:r w:rsidRPr="00C16BD4">
        <w:rPr>
          <w:noProof/>
        </w:rPr>
        <w:tab/>
      </w:r>
      <w:r w:rsidRPr="00C16BD4">
        <w:rPr>
          <w:noProof/>
        </w:rPr>
        <w:fldChar w:fldCharType="begin"/>
      </w:r>
      <w:r w:rsidRPr="00C16BD4">
        <w:rPr>
          <w:noProof/>
        </w:rPr>
        <w:instrText xml:space="preserve"> PAGEREF _Toc198224996 \h </w:instrText>
      </w:r>
      <w:r w:rsidRPr="00C16BD4">
        <w:rPr>
          <w:noProof/>
        </w:rPr>
      </w:r>
      <w:r w:rsidRPr="00C16BD4">
        <w:rPr>
          <w:noProof/>
        </w:rPr>
        <w:fldChar w:fldCharType="separate"/>
      </w:r>
      <w:r w:rsidR="00EE271C">
        <w:rPr>
          <w:noProof/>
        </w:rPr>
        <w:t>49</w:t>
      </w:r>
      <w:r w:rsidRPr="00C16BD4">
        <w:rPr>
          <w:noProof/>
        </w:rPr>
        <w:fldChar w:fldCharType="end"/>
      </w:r>
    </w:p>
    <w:p w14:paraId="01AFEFBD" w14:textId="26A4E14B"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9</w:t>
      </w:r>
      <w:r>
        <w:rPr>
          <w:noProof/>
        </w:rPr>
        <w:tab/>
        <w:t>Delayed initial due diligence for certain matters (politically exposed persons and sanctions)—service provided in Australia</w:t>
      </w:r>
      <w:r w:rsidRPr="00C16BD4">
        <w:rPr>
          <w:noProof/>
        </w:rPr>
        <w:tab/>
      </w:r>
      <w:r w:rsidRPr="00C16BD4">
        <w:rPr>
          <w:noProof/>
        </w:rPr>
        <w:fldChar w:fldCharType="begin"/>
      </w:r>
      <w:r w:rsidRPr="00C16BD4">
        <w:rPr>
          <w:noProof/>
        </w:rPr>
        <w:instrText xml:space="preserve"> PAGEREF _Toc198224997 \h </w:instrText>
      </w:r>
      <w:r w:rsidRPr="00C16BD4">
        <w:rPr>
          <w:noProof/>
        </w:rPr>
      </w:r>
      <w:r w:rsidRPr="00C16BD4">
        <w:rPr>
          <w:noProof/>
        </w:rPr>
        <w:fldChar w:fldCharType="separate"/>
      </w:r>
      <w:r w:rsidR="00EE271C">
        <w:rPr>
          <w:noProof/>
        </w:rPr>
        <w:t>49</w:t>
      </w:r>
      <w:r w:rsidRPr="00C16BD4">
        <w:rPr>
          <w:noProof/>
        </w:rPr>
        <w:fldChar w:fldCharType="end"/>
      </w:r>
    </w:p>
    <w:p w14:paraId="558CCBB9" w14:textId="75A9CEB9"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10</w:t>
      </w:r>
      <w:r>
        <w:rPr>
          <w:noProof/>
        </w:rPr>
        <w:tab/>
        <w:t>Delayed verification—opening an account and deposit</w:t>
      </w:r>
      <w:r w:rsidRPr="00C16BD4">
        <w:rPr>
          <w:noProof/>
        </w:rPr>
        <w:tab/>
      </w:r>
      <w:r w:rsidRPr="00C16BD4">
        <w:rPr>
          <w:noProof/>
        </w:rPr>
        <w:fldChar w:fldCharType="begin"/>
      </w:r>
      <w:r w:rsidRPr="00C16BD4">
        <w:rPr>
          <w:noProof/>
        </w:rPr>
        <w:instrText xml:space="preserve"> PAGEREF _Toc198224998 \h </w:instrText>
      </w:r>
      <w:r w:rsidRPr="00C16BD4">
        <w:rPr>
          <w:noProof/>
        </w:rPr>
      </w:r>
      <w:r w:rsidRPr="00C16BD4">
        <w:rPr>
          <w:noProof/>
        </w:rPr>
        <w:fldChar w:fldCharType="separate"/>
      </w:r>
      <w:r w:rsidR="00EE271C">
        <w:rPr>
          <w:noProof/>
        </w:rPr>
        <w:t>50</w:t>
      </w:r>
      <w:r w:rsidRPr="00C16BD4">
        <w:rPr>
          <w:noProof/>
        </w:rPr>
        <w:fldChar w:fldCharType="end"/>
      </w:r>
    </w:p>
    <w:p w14:paraId="15705C8B" w14:textId="74D7EB8C"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11</w:t>
      </w:r>
      <w:r>
        <w:rPr>
          <w:noProof/>
        </w:rPr>
        <w:tab/>
        <w:t>Delayed verification—certain financial markets transactions</w:t>
      </w:r>
      <w:r w:rsidRPr="00C16BD4">
        <w:rPr>
          <w:noProof/>
        </w:rPr>
        <w:tab/>
      </w:r>
      <w:r w:rsidRPr="00C16BD4">
        <w:rPr>
          <w:noProof/>
        </w:rPr>
        <w:fldChar w:fldCharType="begin"/>
      </w:r>
      <w:r w:rsidRPr="00C16BD4">
        <w:rPr>
          <w:noProof/>
        </w:rPr>
        <w:instrText xml:space="preserve"> PAGEREF _Toc198224999 \h </w:instrText>
      </w:r>
      <w:r w:rsidRPr="00C16BD4">
        <w:rPr>
          <w:noProof/>
        </w:rPr>
      </w:r>
      <w:r w:rsidRPr="00C16BD4">
        <w:rPr>
          <w:noProof/>
        </w:rPr>
        <w:fldChar w:fldCharType="separate"/>
      </w:r>
      <w:r w:rsidR="00EE271C">
        <w:rPr>
          <w:noProof/>
        </w:rPr>
        <w:t>50</w:t>
      </w:r>
      <w:r w:rsidRPr="00C16BD4">
        <w:rPr>
          <w:noProof/>
        </w:rPr>
        <w:fldChar w:fldCharType="end"/>
      </w:r>
    </w:p>
    <w:p w14:paraId="129AECEF" w14:textId="7C230FF8"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4—Circumstances in which reporting entity taken to comply with requirements</w:t>
      </w:r>
      <w:r w:rsidRPr="00C16BD4">
        <w:rPr>
          <w:b w:val="0"/>
          <w:noProof/>
          <w:sz w:val="18"/>
        </w:rPr>
        <w:tab/>
      </w:r>
      <w:r w:rsidRPr="00C16BD4">
        <w:rPr>
          <w:b w:val="0"/>
          <w:noProof/>
          <w:sz w:val="18"/>
        </w:rPr>
        <w:fldChar w:fldCharType="begin"/>
      </w:r>
      <w:r w:rsidRPr="00C16BD4">
        <w:rPr>
          <w:b w:val="0"/>
          <w:noProof/>
          <w:sz w:val="18"/>
        </w:rPr>
        <w:instrText xml:space="preserve"> PAGEREF _Toc198225000 \h </w:instrText>
      </w:r>
      <w:r w:rsidRPr="00C16BD4">
        <w:rPr>
          <w:b w:val="0"/>
          <w:noProof/>
          <w:sz w:val="18"/>
        </w:rPr>
      </w:r>
      <w:r w:rsidRPr="00C16BD4">
        <w:rPr>
          <w:b w:val="0"/>
          <w:noProof/>
          <w:sz w:val="18"/>
        </w:rPr>
        <w:fldChar w:fldCharType="separate"/>
      </w:r>
      <w:r w:rsidR="00EE271C">
        <w:rPr>
          <w:b w:val="0"/>
          <w:noProof/>
          <w:sz w:val="18"/>
        </w:rPr>
        <w:t>52</w:t>
      </w:r>
      <w:r w:rsidRPr="00C16BD4">
        <w:rPr>
          <w:b w:val="0"/>
          <w:noProof/>
          <w:sz w:val="18"/>
        </w:rPr>
        <w:fldChar w:fldCharType="end"/>
      </w:r>
    </w:p>
    <w:p w14:paraId="5C803549" w14:textId="76F0F7E8"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12</w:t>
      </w:r>
      <w:r>
        <w:rPr>
          <w:noProof/>
        </w:rPr>
        <w:tab/>
        <w:t>Initial customer due diligence—previous carrying out of applicable customer identification procedure</w:t>
      </w:r>
      <w:r w:rsidRPr="00C16BD4">
        <w:rPr>
          <w:noProof/>
        </w:rPr>
        <w:tab/>
      </w:r>
      <w:r w:rsidRPr="00C16BD4">
        <w:rPr>
          <w:noProof/>
        </w:rPr>
        <w:fldChar w:fldCharType="begin"/>
      </w:r>
      <w:r w:rsidRPr="00C16BD4">
        <w:rPr>
          <w:noProof/>
        </w:rPr>
        <w:instrText xml:space="preserve"> PAGEREF _Toc198225001 \h </w:instrText>
      </w:r>
      <w:r w:rsidRPr="00C16BD4">
        <w:rPr>
          <w:noProof/>
        </w:rPr>
      </w:r>
      <w:r w:rsidRPr="00C16BD4">
        <w:rPr>
          <w:noProof/>
        </w:rPr>
        <w:fldChar w:fldCharType="separate"/>
      </w:r>
      <w:r w:rsidR="00EE271C">
        <w:rPr>
          <w:noProof/>
        </w:rPr>
        <w:t>52</w:t>
      </w:r>
      <w:r w:rsidRPr="00C16BD4">
        <w:rPr>
          <w:noProof/>
        </w:rPr>
        <w:fldChar w:fldCharType="end"/>
      </w:r>
    </w:p>
    <w:p w14:paraId="3D890EA8" w14:textId="2252CA13"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13</w:t>
      </w:r>
      <w:r>
        <w:rPr>
          <w:noProof/>
        </w:rPr>
        <w:tab/>
        <w:t>Initial customer due diligence—previous compliance in a foreign country</w:t>
      </w:r>
      <w:r w:rsidRPr="00C16BD4">
        <w:rPr>
          <w:noProof/>
        </w:rPr>
        <w:tab/>
      </w:r>
      <w:r w:rsidRPr="00C16BD4">
        <w:rPr>
          <w:noProof/>
        </w:rPr>
        <w:fldChar w:fldCharType="begin"/>
      </w:r>
      <w:r w:rsidRPr="00C16BD4">
        <w:rPr>
          <w:noProof/>
        </w:rPr>
        <w:instrText xml:space="preserve"> PAGEREF _Toc198225002 \h </w:instrText>
      </w:r>
      <w:r w:rsidRPr="00C16BD4">
        <w:rPr>
          <w:noProof/>
        </w:rPr>
      </w:r>
      <w:r w:rsidRPr="00C16BD4">
        <w:rPr>
          <w:noProof/>
        </w:rPr>
        <w:fldChar w:fldCharType="separate"/>
      </w:r>
      <w:r w:rsidR="00EE271C">
        <w:rPr>
          <w:noProof/>
        </w:rPr>
        <w:t>52</w:t>
      </w:r>
      <w:r w:rsidRPr="00C16BD4">
        <w:rPr>
          <w:noProof/>
        </w:rPr>
        <w:fldChar w:fldCharType="end"/>
      </w:r>
    </w:p>
    <w:p w14:paraId="4E041467" w14:textId="073E6A51"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14</w:t>
      </w:r>
      <w:r>
        <w:rPr>
          <w:noProof/>
        </w:rPr>
        <w:tab/>
        <w:t>Initial customer due diligence—establishing the identity of any person on whose behalf the customer is receiving the designated service</w:t>
      </w:r>
      <w:r w:rsidRPr="00C16BD4">
        <w:rPr>
          <w:noProof/>
        </w:rPr>
        <w:tab/>
      </w:r>
      <w:r w:rsidRPr="00C16BD4">
        <w:rPr>
          <w:noProof/>
        </w:rPr>
        <w:fldChar w:fldCharType="begin"/>
      </w:r>
      <w:r w:rsidRPr="00C16BD4">
        <w:rPr>
          <w:noProof/>
        </w:rPr>
        <w:instrText xml:space="preserve"> PAGEREF _Toc198225003 \h </w:instrText>
      </w:r>
      <w:r w:rsidRPr="00C16BD4">
        <w:rPr>
          <w:noProof/>
        </w:rPr>
      </w:r>
      <w:r w:rsidRPr="00C16BD4">
        <w:rPr>
          <w:noProof/>
        </w:rPr>
        <w:fldChar w:fldCharType="separate"/>
      </w:r>
      <w:r w:rsidR="00EE271C">
        <w:rPr>
          <w:noProof/>
        </w:rPr>
        <w:t>52</w:t>
      </w:r>
      <w:r w:rsidRPr="00C16BD4">
        <w:rPr>
          <w:noProof/>
        </w:rPr>
        <w:fldChar w:fldCharType="end"/>
      </w:r>
    </w:p>
    <w:p w14:paraId="0D8F974D" w14:textId="002AA5D7"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15</w:t>
      </w:r>
      <w:r>
        <w:rPr>
          <w:noProof/>
        </w:rPr>
        <w:tab/>
        <w:t>Initial customer due diligence—identity of beneficial owners of certain customers</w:t>
      </w:r>
      <w:r w:rsidRPr="00C16BD4">
        <w:rPr>
          <w:noProof/>
        </w:rPr>
        <w:tab/>
      </w:r>
      <w:r w:rsidRPr="00C16BD4">
        <w:rPr>
          <w:noProof/>
        </w:rPr>
        <w:fldChar w:fldCharType="begin"/>
      </w:r>
      <w:r w:rsidRPr="00C16BD4">
        <w:rPr>
          <w:noProof/>
        </w:rPr>
        <w:instrText xml:space="preserve"> PAGEREF _Toc198225004 \h </w:instrText>
      </w:r>
      <w:r w:rsidRPr="00C16BD4">
        <w:rPr>
          <w:noProof/>
        </w:rPr>
      </w:r>
      <w:r w:rsidRPr="00C16BD4">
        <w:rPr>
          <w:noProof/>
        </w:rPr>
        <w:fldChar w:fldCharType="separate"/>
      </w:r>
      <w:r w:rsidR="00EE271C">
        <w:rPr>
          <w:noProof/>
        </w:rPr>
        <w:t>53</w:t>
      </w:r>
      <w:r w:rsidRPr="00C16BD4">
        <w:rPr>
          <w:noProof/>
        </w:rPr>
        <w:fldChar w:fldCharType="end"/>
      </w:r>
    </w:p>
    <w:p w14:paraId="58AC1D51" w14:textId="5D5B4088"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16</w:t>
      </w:r>
      <w:r>
        <w:rPr>
          <w:noProof/>
        </w:rPr>
        <w:tab/>
        <w:t>Initial customer due diligence—real estate transactions</w:t>
      </w:r>
      <w:r w:rsidRPr="00C16BD4">
        <w:rPr>
          <w:noProof/>
        </w:rPr>
        <w:tab/>
      </w:r>
      <w:r w:rsidRPr="00C16BD4">
        <w:rPr>
          <w:noProof/>
        </w:rPr>
        <w:fldChar w:fldCharType="begin"/>
      </w:r>
      <w:r w:rsidRPr="00C16BD4">
        <w:rPr>
          <w:noProof/>
        </w:rPr>
        <w:instrText xml:space="preserve"> PAGEREF _Toc198225005 \h </w:instrText>
      </w:r>
      <w:r w:rsidRPr="00C16BD4">
        <w:rPr>
          <w:noProof/>
        </w:rPr>
      </w:r>
      <w:r w:rsidRPr="00C16BD4">
        <w:rPr>
          <w:noProof/>
        </w:rPr>
        <w:fldChar w:fldCharType="separate"/>
      </w:r>
      <w:r w:rsidR="00EE271C">
        <w:rPr>
          <w:noProof/>
        </w:rPr>
        <w:t>53</w:t>
      </w:r>
      <w:r w:rsidRPr="00C16BD4">
        <w:rPr>
          <w:noProof/>
        </w:rPr>
        <w:fldChar w:fldCharType="end"/>
      </w:r>
    </w:p>
    <w:p w14:paraId="5DED9D0B" w14:textId="52DDCE62"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17</w:t>
      </w:r>
      <w:r>
        <w:rPr>
          <w:noProof/>
        </w:rPr>
        <w:tab/>
        <w:t>Initial customer due diligence—individual cannot provide satisfactory evidence</w:t>
      </w:r>
      <w:r w:rsidRPr="00C16BD4">
        <w:rPr>
          <w:noProof/>
        </w:rPr>
        <w:tab/>
      </w:r>
      <w:r w:rsidRPr="00C16BD4">
        <w:rPr>
          <w:noProof/>
        </w:rPr>
        <w:fldChar w:fldCharType="begin"/>
      </w:r>
      <w:r w:rsidRPr="00C16BD4">
        <w:rPr>
          <w:noProof/>
        </w:rPr>
        <w:instrText xml:space="preserve"> PAGEREF _Toc198225006 \h </w:instrText>
      </w:r>
      <w:r w:rsidRPr="00C16BD4">
        <w:rPr>
          <w:noProof/>
        </w:rPr>
      </w:r>
      <w:r w:rsidRPr="00C16BD4">
        <w:rPr>
          <w:noProof/>
        </w:rPr>
        <w:fldChar w:fldCharType="separate"/>
      </w:r>
      <w:r w:rsidR="00EE271C">
        <w:rPr>
          <w:noProof/>
        </w:rPr>
        <w:t>54</w:t>
      </w:r>
      <w:r w:rsidRPr="00C16BD4">
        <w:rPr>
          <w:noProof/>
        </w:rPr>
        <w:fldChar w:fldCharType="end"/>
      </w:r>
    </w:p>
    <w:p w14:paraId="7FAE890E" w14:textId="0C5E12FD"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18</w:t>
      </w:r>
      <w:r>
        <w:rPr>
          <w:noProof/>
        </w:rPr>
        <w:tab/>
        <w:t>Initial customer due diligence—transferred customer</w:t>
      </w:r>
      <w:r w:rsidRPr="00C16BD4">
        <w:rPr>
          <w:noProof/>
        </w:rPr>
        <w:tab/>
      </w:r>
      <w:r w:rsidRPr="00C16BD4">
        <w:rPr>
          <w:noProof/>
        </w:rPr>
        <w:fldChar w:fldCharType="begin"/>
      </w:r>
      <w:r w:rsidRPr="00C16BD4">
        <w:rPr>
          <w:noProof/>
        </w:rPr>
        <w:instrText xml:space="preserve"> PAGEREF _Toc198225007 \h </w:instrText>
      </w:r>
      <w:r w:rsidRPr="00C16BD4">
        <w:rPr>
          <w:noProof/>
        </w:rPr>
      </w:r>
      <w:r w:rsidRPr="00C16BD4">
        <w:rPr>
          <w:noProof/>
        </w:rPr>
        <w:fldChar w:fldCharType="separate"/>
      </w:r>
      <w:r w:rsidR="00EE271C">
        <w:rPr>
          <w:noProof/>
        </w:rPr>
        <w:t>55</w:t>
      </w:r>
      <w:r w:rsidRPr="00C16BD4">
        <w:rPr>
          <w:noProof/>
        </w:rPr>
        <w:fldChar w:fldCharType="end"/>
      </w:r>
    </w:p>
    <w:p w14:paraId="65CCEB06" w14:textId="150468E2"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19</w:t>
      </w:r>
      <w:r>
        <w:rPr>
          <w:noProof/>
        </w:rPr>
        <w:tab/>
        <w:t>Ongoing customer due diligence—transferred pre</w:t>
      </w:r>
      <w:r>
        <w:rPr>
          <w:noProof/>
        </w:rPr>
        <w:noBreakHyphen/>
        <w:t>commencement customer</w:t>
      </w:r>
      <w:r w:rsidRPr="00C16BD4">
        <w:rPr>
          <w:noProof/>
        </w:rPr>
        <w:tab/>
      </w:r>
      <w:r w:rsidRPr="00C16BD4">
        <w:rPr>
          <w:noProof/>
        </w:rPr>
        <w:fldChar w:fldCharType="begin"/>
      </w:r>
      <w:r w:rsidRPr="00C16BD4">
        <w:rPr>
          <w:noProof/>
        </w:rPr>
        <w:instrText xml:space="preserve"> PAGEREF _Toc198225008 \h </w:instrText>
      </w:r>
      <w:r w:rsidRPr="00C16BD4">
        <w:rPr>
          <w:noProof/>
        </w:rPr>
      </w:r>
      <w:r w:rsidRPr="00C16BD4">
        <w:rPr>
          <w:noProof/>
        </w:rPr>
        <w:fldChar w:fldCharType="separate"/>
      </w:r>
      <w:r w:rsidR="00EE271C">
        <w:rPr>
          <w:noProof/>
        </w:rPr>
        <w:t>55</w:t>
      </w:r>
      <w:r w:rsidRPr="00C16BD4">
        <w:rPr>
          <w:noProof/>
        </w:rPr>
        <w:fldChar w:fldCharType="end"/>
      </w:r>
    </w:p>
    <w:p w14:paraId="016138A6" w14:textId="407D75A9"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20</w:t>
      </w:r>
      <w:r>
        <w:rPr>
          <w:noProof/>
        </w:rPr>
        <w:tab/>
        <w:t>Ongoing customer due diligence—monitoring of transactions and behaviours</w:t>
      </w:r>
      <w:r w:rsidRPr="00C16BD4">
        <w:rPr>
          <w:noProof/>
        </w:rPr>
        <w:tab/>
      </w:r>
      <w:r w:rsidRPr="00C16BD4">
        <w:rPr>
          <w:noProof/>
        </w:rPr>
        <w:fldChar w:fldCharType="begin"/>
      </w:r>
      <w:r w:rsidRPr="00C16BD4">
        <w:rPr>
          <w:noProof/>
        </w:rPr>
        <w:instrText xml:space="preserve"> PAGEREF _Toc198225009 \h </w:instrText>
      </w:r>
      <w:r w:rsidRPr="00C16BD4">
        <w:rPr>
          <w:noProof/>
        </w:rPr>
      </w:r>
      <w:r w:rsidRPr="00C16BD4">
        <w:rPr>
          <w:noProof/>
        </w:rPr>
        <w:fldChar w:fldCharType="separate"/>
      </w:r>
      <w:r w:rsidR="00EE271C">
        <w:rPr>
          <w:noProof/>
        </w:rPr>
        <w:t>56</w:t>
      </w:r>
      <w:r w:rsidRPr="00C16BD4">
        <w:rPr>
          <w:noProof/>
        </w:rPr>
        <w:fldChar w:fldCharType="end"/>
      </w:r>
    </w:p>
    <w:p w14:paraId="09C6E843" w14:textId="2C312BC0"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5—Politically exposed persons</w:t>
      </w:r>
      <w:r w:rsidRPr="00C16BD4">
        <w:rPr>
          <w:b w:val="0"/>
          <w:noProof/>
          <w:sz w:val="18"/>
        </w:rPr>
        <w:tab/>
      </w:r>
      <w:r w:rsidRPr="00C16BD4">
        <w:rPr>
          <w:b w:val="0"/>
          <w:noProof/>
          <w:sz w:val="18"/>
        </w:rPr>
        <w:fldChar w:fldCharType="begin"/>
      </w:r>
      <w:r w:rsidRPr="00C16BD4">
        <w:rPr>
          <w:b w:val="0"/>
          <w:noProof/>
          <w:sz w:val="18"/>
        </w:rPr>
        <w:instrText xml:space="preserve"> PAGEREF _Toc198225010 \h </w:instrText>
      </w:r>
      <w:r w:rsidRPr="00C16BD4">
        <w:rPr>
          <w:b w:val="0"/>
          <w:noProof/>
          <w:sz w:val="18"/>
        </w:rPr>
      </w:r>
      <w:r w:rsidRPr="00C16BD4">
        <w:rPr>
          <w:b w:val="0"/>
          <w:noProof/>
          <w:sz w:val="18"/>
        </w:rPr>
        <w:fldChar w:fldCharType="separate"/>
      </w:r>
      <w:r w:rsidR="00EE271C">
        <w:rPr>
          <w:b w:val="0"/>
          <w:noProof/>
          <w:sz w:val="18"/>
        </w:rPr>
        <w:t>58</w:t>
      </w:r>
      <w:r w:rsidRPr="00C16BD4">
        <w:rPr>
          <w:b w:val="0"/>
          <w:noProof/>
          <w:sz w:val="18"/>
        </w:rPr>
        <w:fldChar w:fldCharType="end"/>
      </w:r>
    </w:p>
    <w:p w14:paraId="2EC90F69" w14:textId="39F9C6C1"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21</w:t>
      </w:r>
      <w:r>
        <w:rPr>
          <w:noProof/>
        </w:rPr>
        <w:tab/>
        <w:t>Matters for initial customer due diligence—politically exposed person</w:t>
      </w:r>
      <w:r w:rsidRPr="00C16BD4">
        <w:rPr>
          <w:noProof/>
        </w:rPr>
        <w:tab/>
      </w:r>
      <w:r w:rsidRPr="00C16BD4">
        <w:rPr>
          <w:noProof/>
        </w:rPr>
        <w:fldChar w:fldCharType="begin"/>
      </w:r>
      <w:r w:rsidRPr="00C16BD4">
        <w:rPr>
          <w:noProof/>
        </w:rPr>
        <w:instrText xml:space="preserve"> PAGEREF _Toc198225011 \h </w:instrText>
      </w:r>
      <w:r w:rsidRPr="00C16BD4">
        <w:rPr>
          <w:noProof/>
        </w:rPr>
      </w:r>
      <w:r w:rsidRPr="00C16BD4">
        <w:rPr>
          <w:noProof/>
        </w:rPr>
        <w:fldChar w:fldCharType="separate"/>
      </w:r>
      <w:r w:rsidR="00EE271C">
        <w:rPr>
          <w:noProof/>
        </w:rPr>
        <w:t>58</w:t>
      </w:r>
      <w:r w:rsidRPr="00C16BD4">
        <w:rPr>
          <w:noProof/>
        </w:rPr>
        <w:fldChar w:fldCharType="end"/>
      </w:r>
    </w:p>
    <w:p w14:paraId="7260EF8B" w14:textId="51C6F63F"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22</w:t>
      </w:r>
      <w:r>
        <w:rPr>
          <w:noProof/>
        </w:rPr>
        <w:tab/>
        <w:t>Delayed initial due diligence for certain matters (politically exposed persons)—service provided in Australia</w:t>
      </w:r>
      <w:r w:rsidRPr="00C16BD4">
        <w:rPr>
          <w:noProof/>
        </w:rPr>
        <w:tab/>
      </w:r>
      <w:r w:rsidRPr="00C16BD4">
        <w:rPr>
          <w:noProof/>
        </w:rPr>
        <w:fldChar w:fldCharType="begin"/>
      </w:r>
      <w:r w:rsidRPr="00C16BD4">
        <w:rPr>
          <w:noProof/>
        </w:rPr>
        <w:instrText xml:space="preserve"> PAGEREF _Toc198225012 \h </w:instrText>
      </w:r>
      <w:r w:rsidRPr="00C16BD4">
        <w:rPr>
          <w:noProof/>
        </w:rPr>
      </w:r>
      <w:r w:rsidRPr="00C16BD4">
        <w:rPr>
          <w:noProof/>
        </w:rPr>
        <w:fldChar w:fldCharType="separate"/>
      </w:r>
      <w:r w:rsidR="00EE271C">
        <w:rPr>
          <w:noProof/>
        </w:rPr>
        <w:t>58</w:t>
      </w:r>
      <w:r w:rsidRPr="00C16BD4">
        <w:rPr>
          <w:noProof/>
        </w:rPr>
        <w:fldChar w:fldCharType="end"/>
      </w:r>
    </w:p>
    <w:p w14:paraId="0BD29921" w14:textId="62860B16"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23</w:t>
      </w:r>
      <w:r>
        <w:rPr>
          <w:noProof/>
        </w:rPr>
        <w:tab/>
        <w:t>Ongoing customer due diligence—politically exposed person</w:t>
      </w:r>
      <w:r w:rsidRPr="00C16BD4">
        <w:rPr>
          <w:noProof/>
        </w:rPr>
        <w:tab/>
      </w:r>
      <w:r w:rsidRPr="00C16BD4">
        <w:rPr>
          <w:noProof/>
        </w:rPr>
        <w:fldChar w:fldCharType="begin"/>
      </w:r>
      <w:r w:rsidRPr="00C16BD4">
        <w:rPr>
          <w:noProof/>
        </w:rPr>
        <w:instrText xml:space="preserve"> PAGEREF _Toc198225013 \h </w:instrText>
      </w:r>
      <w:r w:rsidRPr="00C16BD4">
        <w:rPr>
          <w:noProof/>
        </w:rPr>
      </w:r>
      <w:r w:rsidRPr="00C16BD4">
        <w:rPr>
          <w:noProof/>
        </w:rPr>
        <w:fldChar w:fldCharType="separate"/>
      </w:r>
      <w:r w:rsidR="00EE271C">
        <w:rPr>
          <w:noProof/>
        </w:rPr>
        <w:t>59</w:t>
      </w:r>
      <w:r w:rsidRPr="00C16BD4">
        <w:rPr>
          <w:noProof/>
        </w:rPr>
        <w:fldChar w:fldCharType="end"/>
      </w:r>
    </w:p>
    <w:p w14:paraId="294938F8" w14:textId="60919B40"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6—Nested service relationships</w:t>
      </w:r>
      <w:r w:rsidRPr="00C16BD4">
        <w:rPr>
          <w:b w:val="0"/>
          <w:noProof/>
          <w:sz w:val="18"/>
        </w:rPr>
        <w:tab/>
      </w:r>
      <w:r w:rsidRPr="00C16BD4">
        <w:rPr>
          <w:b w:val="0"/>
          <w:noProof/>
          <w:sz w:val="18"/>
        </w:rPr>
        <w:fldChar w:fldCharType="begin"/>
      </w:r>
      <w:r w:rsidRPr="00C16BD4">
        <w:rPr>
          <w:b w:val="0"/>
          <w:noProof/>
          <w:sz w:val="18"/>
        </w:rPr>
        <w:instrText xml:space="preserve"> PAGEREF _Toc198225014 \h </w:instrText>
      </w:r>
      <w:r w:rsidRPr="00C16BD4">
        <w:rPr>
          <w:b w:val="0"/>
          <w:noProof/>
          <w:sz w:val="18"/>
        </w:rPr>
      </w:r>
      <w:r w:rsidRPr="00C16BD4">
        <w:rPr>
          <w:b w:val="0"/>
          <w:noProof/>
          <w:sz w:val="18"/>
        </w:rPr>
        <w:fldChar w:fldCharType="separate"/>
      </w:r>
      <w:r w:rsidR="00EE271C">
        <w:rPr>
          <w:b w:val="0"/>
          <w:noProof/>
          <w:sz w:val="18"/>
        </w:rPr>
        <w:t>60</w:t>
      </w:r>
      <w:r w:rsidRPr="00C16BD4">
        <w:rPr>
          <w:b w:val="0"/>
          <w:noProof/>
          <w:sz w:val="18"/>
        </w:rPr>
        <w:fldChar w:fldCharType="end"/>
      </w:r>
    </w:p>
    <w:p w14:paraId="791B3B7C" w14:textId="3F79B01D"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24</w:t>
      </w:r>
      <w:r>
        <w:rPr>
          <w:noProof/>
        </w:rPr>
        <w:tab/>
        <w:t>Matters for initial customer due diligence—nested services relationship</w:t>
      </w:r>
      <w:r w:rsidRPr="00C16BD4">
        <w:rPr>
          <w:noProof/>
        </w:rPr>
        <w:tab/>
      </w:r>
      <w:r w:rsidRPr="00C16BD4">
        <w:rPr>
          <w:noProof/>
        </w:rPr>
        <w:fldChar w:fldCharType="begin"/>
      </w:r>
      <w:r w:rsidRPr="00C16BD4">
        <w:rPr>
          <w:noProof/>
        </w:rPr>
        <w:instrText xml:space="preserve"> PAGEREF _Toc198225015 \h </w:instrText>
      </w:r>
      <w:r w:rsidRPr="00C16BD4">
        <w:rPr>
          <w:noProof/>
        </w:rPr>
      </w:r>
      <w:r w:rsidRPr="00C16BD4">
        <w:rPr>
          <w:noProof/>
        </w:rPr>
        <w:fldChar w:fldCharType="separate"/>
      </w:r>
      <w:r w:rsidR="00EE271C">
        <w:rPr>
          <w:noProof/>
        </w:rPr>
        <w:t>60</w:t>
      </w:r>
      <w:r w:rsidRPr="00C16BD4">
        <w:rPr>
          <w:noProof/>
        </w:rPr>
        <w:fldChar w:fldCharType="end"/>
      </w:r>
    </w:p>
    <w:p w14:paraId="24C6097F" w14:textId="78113346"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25</w:t>
      </w:r>
      <w:r>
        <w:rPr>
          <w:noProof/>
        </w:rPr>
        <w:tab/>
        <w:t>Ongoing customer due diligence—nested services relationship</w:t>
      </w:r>
      <w:r w:rsidRPr="00C16BD4">
        <w:rPr>
          <w:noProof/>
        </w:rPr>
        <w:tab/>
      </w:r>
      <w:r w:rsidRPr="00C16BD4">
        <w:rPr>
          <w:noProof/>
        </w:rPr>
        <w:fldChar w:fldCharType="begin"/>
      </w:r>
      <w:r w:rsidRPr="00C16BD4">
        <w:rPr>
          <w:noProof/>
        </w:rPr>
        <w:instrText xml:space="preserve"> PAGEREF _Toc198225016 \h </w:instrText>
      </w:r>
      <w:r w:rsidRPr="00C16BD4">
        <w:rPr>
          <w:noProof/>
        </w:rPr>
      </w:r>
      <w:r w:rsidRPr="00C16BD4">
        <w:rPr>
          <w:noProof/>
        </w:rPr>
        <w:fldChar w:fldCharType="separate"/>
      </w:r>
      <w:r w:rsidR="00EE271C">
        <w:rPr>
          <w:noProof/>
        </w:rPr>
        <w:t>61</w:t>
      </w:r>
      <w:r w:rsidRPr="00C16BD4">
        <w:rPr>
          <w:noProof/>
        </w:rPr>
        <w:fldChar w:fldCharType="end"/>
      </w:r>
    </w:p>
    <w:p w14:paraId="5C6713F1" w14:textId="717DEDF6"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7—Reliance on collection and verification of KYC information</w:t>
      </w:r>
      <w:r w:rsidRPr="00C16BD4">
        <w:rPr>
          <w:b w:val="0"/>
          <w:noProof/>
          <w:sz w:val="18"/>
        </w:rPr>
        <w:tab/>
      </w:r>
      <w:r w:rsidRPr="00C16BD4">
        <w:rPr>
          <w:b w:val="0"/>
          <w:noProof/>
          <w:sz w:val="18"/>
        </w:rPr>
        <w:fldChar w:fldCharType="begin"/>
      </w:r>
      <w:r w:rsidRPr="00C16BD4">
        <w:rPr>
          <w:b w:val="0"/>
          <w:noProof/>
          <w:sz w:val="18"/>
        </w:rPr>
        <w:instrText xml:space="preserve"> PAGEREF _Toc198225017 \h </w:instrText>
      </w:r>
      <w:r w:rsidRPr="00C16BD4">
        <w:rPr>
          <w:b w:val="0"/>
          <w:noProof/>
          <w:sz w:val="18"/>
        </w:rPr>
      </w:r>
      <w:r w:rsidRPr="00C16BD4">
        <w:rPr>
          <w:b w:val="0"/>
          <w:noProof/>
          <w:sz w:val="18"/>
        </w:rPr>
        <w:fldChar w:fldCharType="separate"/>
      </w:r>
      <w:r w:rsidR="00EE271C">
        <w:rPr>
          <w:b w:val="0"/>
          <w:noProof/>
          <w:sz w:val="18"/>
        </w:rPr>
        <w:t>62</w:t>
      </w:r>
      <w:r w:rsidRPr="00C16BD4">
        <w:rPr>
          <w:b w:val="0"/>
          <w:noProof/>
          <w:sz w:val="18"/>
        </w:rPr>
        <w:fldChar w:fldCharType="end"/>
      </w:r>
    </w:p>
    <w:p w14:paraId="7974F756" w14:textId="493C7857"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26</w:t>
      </w:r>
      <w:r>
        <w:rPr>
          <w:noProof/>
        </w:rPr>
        <w:tab/>
        <w:t>Requirements for agreement or arrangement on collection and verification of KYC information</w:t>
      </w:r>
      <w:r w:rsidRPr="00C16BD4">
        <w:rPr>
          <w:noProof/>
        </w:rPr>
        <w:tab/>
      </w:r>
      <w:r w:rsidRPr="00C16BD4">
        <w:rPr>
          <w:noProof/>
        </w:rPr>
        <w:fldChar w:fldCharType="begin"/>
      </w:r>
      <w:r w:rsidRPr="00C16BD4">
        <w:rPr>
          <w:noProof/>
        </w:rPr>
        <w:instrText xml:space="preserve"> PAGEREF _Toc198225018 \h </w:instrText>
      </w:r>
      <w:r w:rsidRPr="00C16BD4">
        <w:rPr>
          <w:noProof/>
        </w:rPr>
      </w:r>
      <w:r w:rsidRPr="00C16BD4">
        <w:rPr>
          <w:noProof/>
        </w:rPr>
        <w:fldChar w:fldCharType="separate"/>
      </w:r>
      <w:r w:rsidR="00EE271C">
        <w:rPr>
          <w:noProof/>
        </w:rPr>
        <w:t>62</w:t>
      </w:r>
      <w:r w:rsidRPr="00C16BD4">
        <w:rPr>
          <w:noProof/>
        </w:rPr>
        <w:fldChar w:fldCharType="end"/>
      </w:r>
    </w:p>
    <w:p w14:paraId="1741A8F0" w14:textId="7A29A07C"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27</w:t>
      </w:r>
      <w:r>
        <w:rPr>
          <w:noProof/>
        </w:rPr>
        <w:tab/>
        <w:t>Requirements for reliance on collection and verification of KYC information</w:t>
      </w:r>
      <w:r w:rsidRPr="00C16BD4">
        <w:rPr>
          <w:noProof/>
        </w:rPr>
        <w:tab/>
      </w:r>
      <w:r w:rsidRPr="00C16BD4">
        <w:rPr>
          <w:noProof/>
        </w:rPr>
        <w:fldChar w:fldCharType="begin"/>
      </w:r>
      <w:r w:rsidRPr="00C16BD4">
        <w:rPr>
          <w:noProof/>
        </w:rPr>
        <w:instrText xml:space="preserve"> PAGEREF _Toc198225019 \h </w:instrText>
      </w:r>
      <w:r w:rsidRPr="00C16BD4">
        <w:rPr>
          <w:noProof/>
        </w:rPr>
      </w:r>
      <w:r w:rsidRPr="00C16BD4">
        <w:rPr>
          <w:noProof/>
        </w:rPr>
        <w:fldChar w:fldCharType="separate"/>
      </w:r>
      <w:r w:rsidR="00EE271C">
        <w:rPr>
          <w:noProof/>
        </w:rPr>
        <w:t>62</w:t>
      </w:r>
      <w:r w:rsidRPr="00C16BD4">
        <w:rPr>
          <w:noProof/>
        </w:rPr>
        <w:fldChar w:fldCharType="end"/>
      </w:r>
    </w:p>
    <w:p w14:paraId="4CFABB0E" w14:textId="2BC406B1"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8—Keep open notices</w:t>
      </w:r>
      <w:r w:rsidRPr="00C16BD4">
        <w:rPr>
          <w:b w:val="0"/>
          <w:noProof/>
          <w:sz w:val="18"/>
        </w:rPr>
        <w:tab/>
      </w:r>
      <w:r w:rsidRPr="00C16BD4">
        <w:rPr>
          <w:b w:val="0"/>
          <w:noProof/>
          <w:sz w:val="18"/>
        </w:rPr>
        <w:fldChar w:fldCharType="begin"/>
      </w:r>
      <w:r w:rsidRPr="00C16BD4">
        <w:rPr>
          <w:b w:val="0"/>
          <w:noProof/>
          <w:sz w:val="18"/>
        </w:rPr>
        <w:instrText xml:space="preserve"> PAGEREF _Toc198225020 \h </w:instrText>
      </w:r>
      <w:r w:rsidRPr="00C16BD4">
        <w:rPr>
          <w:b w:val="0"/>
          <w:noProof/>
          <w:sz w:val="18"/>
        </w:rPr>
      </w:r>
      <w:r w:rsidRPr="00C16BD4">
        <w:rPr>
          <w:b w:val="0"/>
          <w:noProof/>
          <w:sz w:val="18"/>
        </w:rPr>
        <w:fldChar w:fldCharType="separate"/>
      </w:r>
      <w:r w:rsidR="00EE271C">
        <w:rPr>
          <w:b w:val="0"/>
          <w:noProof/>
          <w:sz w:val="18"/>
        </w:rPr>
        <w:t>64</w:t>
      </w:r>
      <w:r w:rsidRPr="00C16BD4">
        <w:rPr>
          <w:b w:val="0"/>
          <w:noProof/>
          <w:sz w:val="18"/>
        </w:rPr>
        <w:fldChar w:fldCharType="end"/>
      </w:r>
    </w:p>
    <w:p w14:paraId="49E6E6F2" w14:textId="5BF49AEB"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28</w:t>
      </w:r>
      <w:r>
        <w:rPr>
          <w:noProof/>
        </w:rPr>
        <w:tab/>
        <w:t>Senior member of agency—superintendent</w:t>
      </w:r>
      <w:r w:rsidRPr="00C16BD4">
        <w:rPr>
          <w:noProof/>
        </w:rPr>
        <w:tab/>
      </w:r>
      <w:r w:rsidRPr="00C16BD4">
        <w:rPr>
          <w:noProof/>
        </w:rPr>
        <w:fldChar w:fldCharType="begin"/>
      </w:r>
      <w:r w:rsidRPr="00C16BD4">
        <w:rPr>
          <w:noProof/>
        </w:rPr>
        <w:instrText xml:space="preserve"> PAGEREF _Toc198225021 \h </w:instrText>
      </w:r>
      <w:r w:rsidRPr="00C16BD4">
        <w:rPr>
          <w:noProof/>
        </w:rPr>
      </w:r>
      <w:r w:rsidRPr="00C16BD4">
        <w:rPr>
          <w:noProof/>
        </w:rPr>
        <w:fldChar w:fldCharType="separate"/>
      </w:r>
      <w:r w:rsidR="00EE271C">
        <w:rPr>
          <w:noProof/>
        </w:rPr>
        <w:t>64</w:t>
      </w:r>
      <w:r w:rsidRPr="00C16BD4">
        <w:rPr>
          <w:noProof/>
        </w:rPr>
        <w:fldChar w:fldCharType="end"/>
      </w:r>
    </w:p>
    <w:p w14:paraId="3A36AA1B" w14:textId="4EC149EA"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29</w:t>
      </w:r>
      <w:r>
        <w:rPr>
          <w:noProof/>
        </w:rPr>
        <w:tab/>
        <w:t>Form of keep open notice</w:t>
      </w:r>
      <w:r w:rsidRPr="00C16BD4">
        <w:rPr>
          <w:noProof/>
        </w:rPr>
        <w:tab/>
      </w:r>
      <w:r w:rsidRPr="00C16BD4">
        <w:rPr>
          <w:noProof/>
        </w:rPr>
        <w:fldChar w:fldCharType="begin"/>
      </w:r>
      <w:r w:rsidRPr="00C16BD4">
        <w:rPr>
          <w:noProof/>
        </w:rPr>
        <w:instrText xml:space="preserve"> PAGEREF _Toc198225022 \h </w:instrText>
      </w:r>
      <w:r w:rsidRPr="00C16BD4">
        <w:rPr>
          <w:noProof/>
        </w:rPr>
      </w:r>
      <w:r w:rsidRPr="00C16BD4">
        <w:rPr>
          <w:noProof/>
        </w:rPr>
        <w:fldChar w:fldCharType="separate"/>
      </w:r>
      <w:r w:rsidR="00EE271C">
        <w:rPr>
          <w:noProof/>
        </w:rPr>
        <w:t>64</w:t>
      </w:r>
      <w:r w:rsidRPr="00C16BD4">
        <w:rPr>
          <w:noProof/>
        </w:rPr>
        <w:fldChar w:fldCharType="end"/>
      </w:r>
    </w:p>
    <w:p w14:paraId="5E289FA1" w14:textId="1A4BAEBC"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30</w:t>
      </w:r>
      <w:r>
        <w:rPr>
          <w:noProof/>
        </w:rPr>
        <w:tab/>
        <w:t>Information and documents required to be contained in or to accompany keep open notice</w:t>
      </w:r>
      <w:r w:rsidRPr="00C16BD4">
        <w:rPr>
          <w:noProof/>
        </w:rPr>
        <w:tab/>
      </w:r>
      <w:r w:rsidRPr="00C16BD4">
        <w:rPr>
          <w:noProof/>
        </w:rPr>
        <w:fldChar w:fldCharType="begin"/>
      </w:r>
      <w:r w:rsidRPr="00C16BD4">
        <w:rPr>
          <w:noProof/>
        </w:rPr>
        <w:instrText xml:space="preserve"> PAGEREF _Toc198225023 \h </w:instrText>
      </w:r>
      <w:r w:rsidRPr="00C16BD4">
        <w:rPr>
          <w:noProof/>
        </w:rPr>
      </w:r>
      <w:r w:rsidRPr="00C16BD4">
        <w:rPr>
          <w:noProof/>
        </w:rPr>
        <w:fldChar w:fldCharType="separate"/>
      </w:r>
      <w:r w:rsidR="00EE271C">
        <w:rPr>
          <w:noProof/>
        </w:rPr>
        <w:t>64</w:t>
      </w:r>
      <w:r w:rsidRPr="00C16BD4">
        <w:rPr>
          <w:noProof/>
        </w:rPr>
        <w:fldChar w:fldCharType="end"/>
      </w:r>
    </w:p>
    <w:p w14:paraId="5780CAD0" w14:textId="6551CCCF"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31</w:t>
      </w:r>
      <w:r>
        <w:rPr>
          <w:noProof/>
        </w:rPr>
        <w:tab/>
        <w:t>Extension notices</w:t>
      </w:r>
      <w:r w:rsidRPr="00C16BD4">
        <w:rPr>
          <w:noProof/>
        </w:rPr>
        <w:tab/>
      </w:r>
      <w:r w:rsidRPr="00C16BD4">
        <w:rPr>
          <w:noProof/>
        </w:rPr>
        <w:fldChar w:fldCharType="begin"/>
      </w:r>
      <w:r w:rsidRPr="00C16BD4">
        <w:rPr>
          <w:noProof/>
        </w:rPr>
        <w:instrText xml:space="preserve"> PAGEREF _Toc198225024 \h </w:instrText>
      </w:r>
      <w:r w:rsidRPr="00C16BD4">
        <w:rPr>
          <w:noProof/>
        </w:rPr>
      </w:r>
      <w:r w:rsidRPr="00C16BD4">
        <w:rPr>
          <w:noProof/>
        </w:rPr>
        <w:fldChar w:fldCharType="separate"/>
      </w:r>
      <w:r w:rsidR="00EE271C">
        <w:rPr>
          <w:noProof/>
        </w:rPr>
        <w:t>65</w:t>
      </w:r>
      <w:r w:rsidRPr="00C16BD4">
        <w:rPr>
          <w:noProof/>
        </w:rPr>
        <w:fldChar w:fldCharType="end"/>
      </w:r>
    </w:p>
    <w:p w14:paraId="02F179EA" w14:textId="258DF689"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32</w:t>
      </w:r>
      <w:r>
        <w:rPr>
          <w:noProof/>
        </w:rPr>
        <w:tab/>
        <w:t>Further extension application</w:t>
      </w:r>
      <w:r w:rsidRPr="00C16BD4">
        <w:rPr>
          <w:noProof/>
        </w:rPr>
        <w:tab/>
      </w:r>
      <w:r w:rsidRPr="00C16BD4">
        <w:rPr>
          <w:noProof/>
        </w:rPr>
        <w:fldChar w:fldCharType="begin"/>
      </w:r>
      <w:r w:rsidRPr="00C16BD4">
        <w:rPr>
          <w:noProof/>
        </w:rPr>
        <w:instrText xml:space="preserve"> PAGEREF _Toc198225025 \h </w:instrText>
      </w:r>
      <w:r w:rsidRPr="00C16BD4">
        <w:rPr>
          <w:noProof/>
        </w:rPr>
      </w:r>
      <w:r w:rsidRPr="00C16BD4">
        <w:rPr>
          <w:noProof/>
        </w:rPr>
        <w:fldChar w:fldCharType="separate"/>
      </w:r>
      <w:r w:rsidR="00EE271C">
        <w:rPr>
          <w:noProof/>
        </w:rPr>
        <w:t>65</w:t>
      </w:r>
      <w:r w:rsidRPr="00C16BD4">
        <w:rPr>
          <w:noProof/>
        </w:rPr>
        <w:fldChar w:fldCharType="end"/>
      </w:r>
    </w:p>
    <w:p w14:paraId="04DEAC26" w14:textId="3BAB244A" w:rsidR="00C16BD4" w:rsidRDefault="00C16BD4">
      <w:pPr>
        <w:pStyle w:val="TOC2"/>
        <w:rPr>
          <w:rFonts w:asciiTheme="minorHAnsi" w:eastAsiaTheme="minorEastAsia" w:hAnsiTheme="minorHAnsi" w:cstheme="minorBidi"/>
          <w:b w:val="0"/>
          <w:noProof/>
          <w:kern w:val="2"/>
          <w:szCs w:val="24"/>
          <w14:ligatures w14:val="standardContextual"/>
        </w:rPr>
      </w:pPr>
      <w:r>
        <w:rPr>
          <w:noProof/>
        </w:rPr>
        <w:t>Part 6—Correspondent banking</w:t>
      </w:r>
      <w:r w:rsidRPr="00C16BD4">
        <w:rPr>
          <w:b w:val="0"/>
          <w:noProof/>
          <w:sz w:val="18"/>
        </w:rPr>
        <w:tab/>
      </w:r>
      <w:r w:rsidRPr="00C16BD4">
        <w:rPr>
          <w:b w:val="0"/>
          <w:noProof/>
          <w:sz w:val="18"/>
        </w:rPr>
        <w:fldChar w:fldCharType="begin"/>
      </w:r>
      <w:r w:rsidRPr="00C16BD4">
        <w:rPr>
          <w:b w:val="0"/>
          <w:noProof/>
          <w:sz w:val="18"/>
        </w:rPr>
        <w:instrText xml:space="preserve"> PAGEREF _Toc198225026 \h </w:instrText>
      </w:r>
      <w:r w:rsidRPr="00C16BD4">
        <w:rPr>
          <w:b w:val="0"/>
          <w:noProof/>
          <w:sz w:val="18"/>
        </w:rPr>
      </w:r>
      <w:r w:rsidRPr="00C16BD4">
        <w:rPr>
          <w:b w:val="0"/>
          <w:noProof/>
          <w:sz w:val="18"/>
        </w:rPr>
        <w:fldChar w:fldCharType="separate"/>
      </w:r>
      <w:r w:rsidR="00EE271C">
        <w:rPr>
          <w:b w:val="0"/>
          <w:noProof/>
          <w:sz w:val="18"/>
        </w:rPr>
        <w:t>66</w:t>
      </w:r>
      <w:r w:rsidRPr="00C16BD4">
        <w:rPr>
          <w:b w:val="0"/>
          <w:noProof/>
          <w:sz w:val="18"/>
        </w:rPr>
        <w:fldChar w:fldCharType="end"/>
      </w:r>
    </w:p>
    <w:p w14:paraId="6D7EF2BD" w14:textId="0F54200C"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1—Due diligence assessment for entry into correspondent banking relationship</w:t>
      </w:r>
      <w:r w:rsidRPr="00C16BD4">
        <w:rPr>
          <w:b w:val="0"/>
          <w:noProof/>
          <w:sz w:val="18"/>
        </w:rPr>
        <w:tab/>
      </w:r>
      <w:r w:rsidRPr="00C16BD4">
        <w:rPr>
          <w:b w:val="0"/>
          <w:noProof/>
          <w:sz w:val="18"/>
        </w:rPr>
        <w:fldChar w:fldCharType="begin"/>
      </w:r>
      <w:r w:rsidRPr="00C16BD4">
        <w:rPr>
          <w:b w:val="0"/>
          <w:noProof/>
          <w:sz w:val="18"/>
        </w:rPr>
        <w:instrText xml:space="preserve"> PAGEREF _Toc198225027 \h </w:instrText>
      </w:r>
      <w:r w:rsidRPr="00C16BD4">
        <w:rPr>
          <w:b w:val="0"/>
          <w:noProof/>
          <w:sz w:val="18"/>
        </w:rPr>
      </w:r>
      <w:r w:rsidRPr="00C16BD4">
        <w:rPr>
          <w:b w:val="0"/>
          <w:noProof/>
          <w:sz w:val="18"/>
        </w:rPr>
        <w:fldChar w:fldCharType="separate"/>
      </w:r>
      <w:r w:rsidR="00EE271C">
        <w:rPr>
          <w:b w:val="0"/>
          <w:noProof/>
          <w:sz w:val="18"/>
        </w:rPr>
        <w:t>66</w:t>
      </w:r>
      <w:r w:rsidRPr="00C16BD4">
        <w:rPr>
          <w:b w:val="0"/>
          <w:noProof/>
          <w:sz w:val="18"/>
        </w:rPr>
        <w:fldChar w:fldCharType="end"/>
      </w:r>
    </w:p>
    <w:p w14:paraId="3A3331B1" w14:textId="1AB60964"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1</w:t>
      </w:r>
      <w:r>
        <w:rPr>
          <w:noProof/>
        </w:rPr>
        <w:tab/>
        <w:t>Requirements for due diligence assessment</w:t>
      </w:r>
      <w:r w:rsidRPr="00C16BD4">
        <w:rPr>
          <w:noProof/>
        </w:rPr>
        <w:tab/>
      </w:r>
      <w:r w:rsidRPr="00C16BD4">
        <w:rPr>
          <w:noProof/>
        </w:rPr>
        <w:fldChar w:fldCharType="begin"/>
      </w:r>
      <w:r w:rsidRPr="00C16BD4">
        <w:rPr>
          <w:noProof/>
        </w:rPr>
        <w:instrText xml:space="preserve"> PAGEREF _Toc198225028 \h </w:instrText>
      </w:r>
      <w:r w:rsidRPr="00C16BD4">
        <w:rPr>
          <w:noProof/>
        </w:rPr>
      </w:r>
      <w:r w:rsidRPr="00C16BD4">
        <w:rPr>
          <w:noProof/>
        </w:rPr>
        <w:fldChar w:fldCharType="separate"/>
      </w:r>
      <w:r w:rsidR="00EE271C">
        <w:rPr>
          <w:noProof/>
        </w:rPr>
        <w:t>66</w:t>
      </w:r>
      <w:r w:rsidRPr="00C16BD4">
        <w:rPr>
          <w:noProof/>
        </w:rPr>
        <w:fldChar w:fldCharType="end"/>
      </w:r>
    </w:p>
    <w:p w14:paraId="5906135D" w14:textId="2769D61E"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2</w:t>
      </w:r>
      <w:r>
        <w:rPr>
          <w:noProof/>
        </w:rPr>
        <w:tab/>
        <w:t>Matters to which a senior officer must have regard before giving approval</w:t>
      </w:r>
      <w:r w:rsidRPr="00C16BD4">
        <w:rPr>
          <w:noProof/>
        </w:rPr>
        <w:tab/>
      </w:r>
      <w:r w:rsidRPr="00C16BD4">
        <w:rPr>
          <w:noProof/>
        </w:rPr>
        <w:fldChar w:fldCharType="begin"/>
      </w:r>
      <w:r w:rsidRPr="00C16BD4">
        <w:rPr>
          <w:noProof/>
        </w:rPr>
        <w:instrText xml:space="preserve"> PAGEREF _Toc198225029 \h </w:instrText>
      </w:r>
      <w:r w:rsidRPr="00C16BD4">
        <w:rPr>
          <w:noProof/>
        </w:rPr>
      </w:r>
      <w:r w:rsidRPr="00C16BD4">
        <w:rPr>
          <w:noProof/>
        </w:rPr>
        <w:fldChar w:fldCharType="separate"/>
      </w:r>
      <w:r w:rsidR="00EE271C">
        <w:rPr>
          <w:noProof/>
        </w:rPr>
        <w:t>67</w:t>
      </w:r>
      <w:r w:rsidRPr="00C16BD4">
        <w:rPr>
          <w:noProof/>
        </w:rPr>
        <w:fldChar w:fldCharType="end"/>
      </w:r>
    </w:p>
    <w:p w14:paraId="5921BC3D" w14:textId="41249346"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2—Requirements for ongoing due diligence assessments</w:t>
      </w:r>
      <w:r w:rsidRPr="00C16BD4">
        <w:rPr>
          <w:b w:val="0"/>
          <w:noProof/>
          <w:sz w:val="18"/>
        </w:rPr>
        <w:tab/>
      </w:r>
      <w:r w:rsidRPr="00C16BD4">
        <w:rPr>
          <w:b w:val="0"/>
          <w:noProof/>
          <w:sz w:val="18"/>
        </w:rPr>
        <w:fldChar w:fldCharType="begin"/>
      </w:r>
      <w:r w:rsidRPr="00C16BD4">
        <w:rPr>
          <w:b w:val="0"/>
          <w:noProof/>
          <w:sz w:val="18"/>
        </w:rPr>
        <w:instrText xml:space="preserve"> PAGEREF _Toc198225030 \h </w:instrText>
      </w:r>
      <w:r w:rsidRPr="00C16BD4">
        <w:rPr>
          <w:b w:val="0"/>
          <w:noProof/>
          <w:sz w:val="18"/>
        </w:rPr>
      </w:r>
      <w:r w:rsidRPr="00C16BD4">
        <w:rPr>
          <w:b w:val="0"/>
          <w:noProof/>
          <w:sz w:val="18"/>
        </w:rPr>
        <w:fldChar w:fldCharType="separate"/>
      </w:r>
      <w:r w:rsidR="00EE271C">
        <w:rPr>
          <w:b w:val="0"/>
          <w:noProof/>
          <w:sz w:val="18"/>
        </w:rPr>
        <w:t>68</w:t>
      </w:r>
      <w:r w:rsidRPr="00C16BD4">
        <w:rPr>
          <w:b w:val="0"/>
          <w:noProof/>
          <w:sz w:val="18"/>
        </w:rPr>
        <w:fldChar w:fldCharType="end"/>
      </w:r>
    </w:p>
    <w:p w14:paraId="7E3F47BF" w14:textId="3D134ABB"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3</w:t>
      </w:r>
      <w:r>
        <w:rPr>
          <w:noProof/>
        </w:rPr>
        <w:tab/>
        <w:t>Requirements for ongoing due diligence assessments</w:t>
      </w:r>
      <w:r w:rsidRPr="00C16BD4">
        <w:rPr>
          <w:noProof/>
        </w:rPr>
        <w:tab/>
      </w:r>
      <w:r w:rsidRPr="00C16BD4">
        <w:rPr>
          <w:noProof/>
        </w:rPr>
        <w:fldChar w:fldCharType="begin"/>
      </w:r>
      <w:r w:rsidRPr="00C16BD4">
        <w:rPr>
          <w:noProof/>
        </w:rPr>
        <w:instrText xml:space="preserve"> PAGEREF _Toc198225031 \h </w:instrText>
      </w:r>
      <w:r w:rsidRPr="00C16BD4">
        <w:rPr>
          <w:noProof/>
        </w:rPr>
      </w:r>
      <w:r w:rsidRPr="00C16BD4">
        <w:rPr>
          <w:noProof/>
        </w:rPr>
        <w:fldChar w:fldCharType="separate"/>
      </w:r>
      <w:r w:rsidR="00EE271C">
        <w:rPr>
          <w:noProof/>
        </w:rPr>
        <w:t>68</w:t>
      </w:r>
      <w:r w:rsidRPr="00C16BD4">
        <w:rPr>
          <w:noProof/>
        </w:rPr>
        <w:fldChar w:fldCharType="end"/>
      </w:r>
    </w:p>
    <w:p w14:paraId="5CB0778D" w14:textId="6FED913B"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4</w:t>
      </w:r>
      <w:r>
        <w:rPr>
          <w:noProof/>
        </w:rPr>
        <w:tab/>
        <w:t>Timing of ongoing due diligence assessments</w:t>
      </w:r>
      <w:r w:rsidRPr="00C16BD4">
        <w:rPr>
          <w:noProof/>
        </w:rPr>
        <w:tab/>
      </w:r>
      <w:r w:rsidRPr="00C16BD4">
        <w:rPr>
          <w:noProof/>
        </w:rPr>
        <w:fldChar w:fldCharType="begin"/>
      </w:r>
      <w:r w:rsidRPr="00C16BD4">
        <w:rPr>
          <w:noProof/>
        </w:rPr>
        <w:instrText xml:space="preserve"> PAGEREF _Toc198225032 \h </w:instrText>
      </w:r>
      <w:r w:rsidRPr="00C16BD4">
        <w:rPr>
          <w:noProof/>
        </w:rPr>
      </w:r>
      <w:r w:rsidRPr="00C16BD4">
        <w:rPr>
          <w:noProof/>
        </w:rPr>
        <w:fldChar w:fldCharType="separate"/>
      </w:r>
      <w:r w:rsidR="00EE271C">
        <w:rPr>
          <w:noProof/>
        </w:rPr>
        <w:t>68</w:t>
      </w:r>
      <w:r w:rsidRPr="00C16BD4">
        <w:rPr>
          <w:noProof/>
        </w:rPr>
        <w:fldChar w:fldCharType="end"/>
      </w:r>
    </w:p>
    <w:p w14:paraId="78E73E27" w14:textId="2358E123" w:rsidR="00C16BD4" w:rsidRDefault="00C16BD4">
      <w:pPr>
        <w:pStyle w:val="TOC2"/>
        <w:rPr>
          <w:rFonts w:asciiTheme="minorHAnsi" w:eastAsiaTheme="minorEastAsia" w:hAnsiTheme="minorHAnsi" w:cstheme="minorBidi"/>
          <w:b w:val="0"/>
          <w:noProof/>
          <w:kern w:val="2"/>
          <w:szCs w:val="24"/>
          <w14:ligatures w14:val="standardContextual"/>
        </w:rPr>
      </w:pPr>
      <w:r>
        <w:rPr>
          <w:noProof/>
        </w:rPr>
        <w:t>Part 7—Transfers of value</w:t>
      </w:r>
      <w:r w:rsidRPr="00C16BD4">
        <w:rPr>
          <w:b w:val="0"/>
          <w:noProof/>
          <w:sz w:val="18"/>
        </w:rPr>
        <w:tab/>
      </w:r>
      <w:r w:rsidRPr="00C16BD4">
        <w:rPr>
          <w:b w:val="0"/>
          <w:noProof/>
          <w:sz w:val="18"/>
        </w:rPr>
        <w:fldChar w:fldCharType="begin"/>
      </w:r>
      <w:r w:rsidRPr="00C16BD4">
        <w:rPr>
          <w:b w:val="0"/>
          <w:noProof/>
          <w:sz w:val="18"/>
        </w:rPr>
        <w:instrText xml:space="preserve"> PAGEREF _Toc198225033 \h </w:instrText>
      </w:r>
      <w:r w:rsidRPr="00C16BD4">
        <w:rPr>
          <w:b w:val="0"/>
          <w:noProof/>
          <w:sz w:val="18"/>
        </w:rPr>
      </w:r>
      <w:r w:rsidRPr="00C16BD4">
        <w:rPr>
          <w:b w:val="0"/>
          <w:noProof/>
          <w:sz w:val="18"/>
        </w:rPr>
        <w:fldChar w:fldCharType="separate"/>
      </w:r>
      <w:r w:rsidR="00EE271C">
        <w:rPr>
          <w:b w:val="0"/>
          <w:noProof/>
          <w:sz w:val="18"/>
        </w:rPr>
        <w:t>69</w:t>
      </w:r>
      <w:r w:rsidRPr="00C16BD4">
        <w:rPr>
          <w:b w:val="0"/>
          <w:noProof/>
          <w:sz w:val="18"/>
        </w:rPr>
        <w:fldChar w:fldCharType="end"/>
      </w:r>
    </w:p>
    <w:p w14:paraId="5A484784" w14:textId="58C3D876"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1—Ordering institutions and beneficiary institutions</w:t>
      </w:r>
      <w:r w:rsidRPr="00C16BD4">
        <w:rPr>
          <w:b w:val="0"/>
          <w:noProof/>
          <w:sz w:val="18"/>
        </w:rPr>
        <w:tab/>
      </w:r>
      <w:r w:rsidRPr="00C16BD4">
        <w:rPr>
          <w:b w:val="0"/>
          <w:noProof/>
          <w:sz w:val="18"/>
        </w:rPr>
        <w:fldChar w:fldCharType="begin"/>
      </w:r>
      <w:r w:rsidRPr="00C16BD4">
        <w:rPr>
          <w:b w:val="0"/>
          <w:noProof/>
          <w:sz w:val="18"/>
        </w:rPr>
        <w:instrText xml:space="preserve"> PAGEREF _Toc198225034 \h </w:instrText>
      </w:r>
      <w:r w:rsidRPr="00C16BD4">
        <w:rPr>
          <w:b w:val="0"/>
          <w:noProof/>
          <w:sz w:val="18"/>
        </w:rPr>
      </w:r>
      <w:r w:rsidRPr="00C16BD4">
        <w:rPr>
          <w:b w:val="0"/>
          <w:noProof/>
          <w:sz w:val="18"/>
        </w:rPr>
        <w:fldChar w:fldCharType="separate"/>
      </w:r>
      <w:r w:rsidR="00EE271C">
        <w:rPr>
          <w:b w:val="0"/>
          <w:noProof/>
          <w:sz w:val="18"/>
        </w:rPr>
        <w:t>69</w:t>
      </w:r>
      <w:r w:rsidRPr="00C16BD4">
        <w:rPr>
          <w:b w:val="0"/>
          <w:noProof/>
          <w:sz w:val="18"/>
        </w:rPr>
        <w:fldChar w:fldCharType="end"/>
      </w:r>
    </w:p>
    <w:p w14:paraId="21EC7BC8" w14:textId="7174A5D7"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w:t>
      </w:r>
      <w:r>
        <w:rPr>
          <w:noProof/>
        </w:rPr>
        <w:tab/>
        <w:t xml:space="preserve">Determination of who is an </w:t>
      </w:r>
      <w:r w:rsidRPr="004513C8">
        <w:rPr>
          <w:i/>
          <w:noProof/>
        </w:rPr>
        <w:t>ordering institution</w:t>
      </w:r>
      <w:r w:rsidRPr="00C16BD4">
        <w:rPr>
          <w:noProof/>
        </w:rPr>
        <w:tab/>
      </w:r>
      <w:r w:rsidRPr="00C16BD4">
        <w:rPr>
          <w:noProof/>
        </w:rPr>
        <w:fldChar w:fldCharType="begin"/>
      </w:r>
      <w:r w:rsidRPr="00C16BD4">
        <w:rPr>
          <w:noProof/>
        </w:rPr>
        <w:instrText xml:space="preserve"> PAGEREF _Toc198225035 \h </w:instrText>
      </w:r>
      <w:r w:rsidRPr="00C16BD4">
        <w:rPr>
          <w:noProof/>
        </w:rPr>
      </w:r>
      <w:r w:rsidRPr="00C16BD4">
        <w:rPr>
          <w:noProof/>
        </w:rPr>
        <w:fldChar w:fldCharType="separate"/>
      </w:r>
      <w:r w:rsidR="00EE271C">
        <w:rPr>
          <w:noProof/>
        </w:rPr>
        <w:t>69</w:t>
      </w:r>
      <w:r w:rsidRPr="00C16BD4">
        <w:rPr>
          <w:noProof/>
        </w:rPr>
        <w:fldChar w:fldCharType="end"/>
      </w:r>
    </w:p>
    <w:p w14:paraId="08555F8E" w14:textId="7D061B69"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2</w:t>
      </w:r>
      <w:r>
        <w:rPr>
          <w:noProof/>
        </w:rPr>
        <w:tab/>
        <w:t xml:space="preserve">Determination of who is a </w:t>
      </w:r>
      <w:r w:rsidRPr="004513C8">
        <w:rPr>
          <w:i/>
          <w:noProof/>
        </w:rPr>
        <w:t>beneficiary institution</w:t>
      </w:r>
      <w:r w:rsidRPr="00C16BD4">
        <w:rPr>
          <w:noProof/>
        </w:rPr>
        <w:tab/>
      </w:r>
      <w:r w:rsidRPr="00C16BD4">
        <w:rPr>
          <w:noProof/>
        </w:rPr>
        <w:fldChar w:fldCharType="begin"/>
      </w:r>
      <w:r w:rsidRPr="00C16BD4">
        <w:rPr>
          <w:noProof/>
        </w:rPr>
        <w:instrText xml:space="preserve"> PAGEREF _Toc198225036 \h </w:instrText>
      </w:r>
      <w:r w:rsidRPr="00C16BD4">
        <w:rPr>
          <w:noProof/>
        </w:rPr>
      </w:r>
      <w:r w:rsidRPr="00C16BD4">
        <w:rPr>
          <w:noProof/>
        </w:rPr>
        <w:fldChar w:fldCharType="separate"/>
      </w:r>
      <w:r w:rsidR="00EE271C">
        <w:rPr>
          <w:noProof/>
        </w:rPr>
        <w:t>69</w:t>
      </w:r>
      <w:r w:rsidRPr="00C16BD4">
        <w:rPr>
          <w:noProof/>
        </w:rPr>
        <w:fldChar w:fldCharType="end"/>
      </w:r>
    </w:p>
    <w:p w14:paraId="4E3F9165" w14:textId="07DC564A"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2—Transfers of value</w:t>
      </w:r>
      <w:r w:rsidRPr="00C16BD4">
        <w:rPr>
          <w:b w:val="0"/>
          <w:noProof/>
          <w:sz w:val="18"/>
        </w:rPr>
        <w:tab/>
      </w:r>
      <w:r w:rsidRPr="00C16BD4">
        <w:rPr>
          <w:b w:val="0"/>
          <w:noProof/>
          <w:sz w:val="18"/>
        </w:rPr>
        <w:fldChar w:fldCharType="begin"/>
      </w:r>
      <w:r w:rsidRPr="00C16BD4">
        <w:rPr>
          <w:b w:val="0"/>
          <w:noProof/>
          <w:sz w:val="18"/>
        </w:rPr>
        <w:instrText xml:space="preserve"> PAGEREF _Toc198225037 \h </w:instrText>
      </w:r>
      <w:r w:rsidRPr="00C16BD4">
        <w:rPr>
          <w:b w:val="0"/>
          <w:noProof/>
          <w:sz w:val="18"/>
        </w:rPr>
      </w:r>
      <w:r w:rsidRPr="00C16BD4">
        <w:rPr>
          <w:b w:val="0"/>
          <w:noProof/>
          <w:sz w:val="18"/>
        </w:rPr>
        <w:fldChar w:fldCharType="separate"/>
      </w:r>
      <w:r w:rsidR="00EE271C">
        <w:rPr>
          <w:b w:val="0"/>
          <w:noProof/>
          <w:sz w:val="18"/>
        </w:rPr>
        <w:t>71</w:t>
      </w:r>
      <w:r w:rsidRPr="00C16BD4">
        <w:rPr>
          <w:b w:val="0"/>
          <w:noProof/>
          <w:sz w:val="18"/>
        </w:rPr>
        <w:fldChar w:fldCharType="end"/>
      </w:r>
    </w:p>
    <w:p w14:paraId="77B99C1D" w14:textId="7BC58843"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3</w:t>
      </w:r>
      <w:r>
        <w:rPr>
          <w:noProof/>
        </w:rPr>
        <w:tab/>
        <w:t>Obligations of ordering institutions—collecting, verifying and passing on information</w:t>
      </w:r>
      <w:r w:rsidRPr="00C16BD4">
        <w:rPr>
          <w:noProof/>
        </w:rPr>
        <w:tab/>
      </w:r>
      <w:r w:rsidRPr="00C16BD4">
        <w:rPr>
          <w:noProof/>
        </w:rPr>
        <w:fldChar w:fldCharType="begin"/>
      </w:r>
      <w:r w:rsidRPr="00C16BD4">
        <w:rPr>
          <w:noProof/>
        </w:rPr>
        <w:instrText xml:space="preserve"> PAGEREF _Toc198225038 \h </w:instrText>
      </w:r>
      <w:r w:rsidRPr="00C16BD4">
        <w:rPr>
          <w:noProof/>
        </w:rPr>
      </w:r>
      <w:r w:rsidRPr="00C16BD4">
        <w:rPr>
          <w:noProof/>
        </w:rPr>
        <w:fldChar w:fldCharType="separate"/>
      </w:r>
      <w:r w:rsidR="00EE271C">
        <w:rPr>
          <w:noProof/>
        </w:rPr>
        <w:t>71</w:t>
      </w:r>
      <w:r w:rsidRPr="00C16BD4">
        <w:rPr>
          <w:noProof/>
        </w:rPr>
        <w:fldChar w:fldCharType="end"/>
      </w:r>
    </w:p>
    <w:p w14:paraId="26A70F3B" w14:textId="5B1FBD5C"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4</w:t>
      </w:r>
      <w:r>
        <w:rPr>
          <w:noProof/>
        </w:rPr>
        <w:tab/>
        <w:t>Obligations of beneficiary institutions—monitoring for receipt of information</w:t>
      </w:r>
      <w:r w:rsidRPr="00C16BD4">
        <w:rPr>
          <w:noProof/>
        </w:rPr>
        <w:tab/>
      </w:r>
      <w:r w:rsidRPr="00C16BD4">
        <w:rPr>
          <w:noProof/>
        </w:rPr>
        <w:fldChar w:fldCharType="begin"/>
      </w:r>
      <w:r w:rsidRPr="00C16BD4">
        <w:rPr>
          <w:noProof/>
        </w:rPr>
        <w:instrText xml:space="preserve"> PAGEREF _Toc198225039 \h </w:instrText>
      </w:r>
      <w:r w:rsidRPr="00C16BD4">
        <w:rPr>
          <w:noProof/>
        </w:rPr>
      </w:r>
      <w:r w:rsidRPr="00C16BD4">
        <w:rPr>
          <w:noProof/>
        </w:rPr>
        <w:fldChar w:fldCharType="separate"/>
      </w:r>
      <w:r w:rsidR="00EE271C">
        <w:rPr>
          <w:noProof/>
        </w:rPr>
        <w:t>72</w:t>
      </w:r>
      <w:r w:rsidRPr="00C16BD4">
        <w:rPr>
          <w:noProof/>
        </w:rPr>
        <w:fldChar w:fldCharType="end"/>
      </w:r>
    </w:p>
    <w:p w14:paraId="7200064C" w14:textId="683637CF"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5</w:t>
      </w:r>
      <w:r>
        <w:rPr>
          <w:noProof/>
        </w:rPr>
        <w:tab/>
        <w:t>Obligations of intermediary institutions—monitoring for receipt of information and passing on information</w:t>
      </w:r>
      <w:r w:rsidRPr="00C16BD4">
        <w:rPr>
          <w:noProof/>
        </w:rPr>
        <w:tab/>
      </w:r>
      <w:r w:rsidRPr="00C16BD4">
        <w:rPr>
          <w:noProof/>
        </w:rPr>
        <w:fldChar w:fldCharType="begin"/>
      </w:r>
      <w:r w:rsidRPr="00C16BD4">
        <w:rPr>
          <w:noProof/>
        </w:rPr>
        <w:instrText xml:space="preserve"> PAGEREF _Toc198225040 \h </w:instrText>
      </w:r>
      <w:r w:rsidRPr="00C16BD4">
        <w:rPr>
          <w:noProof/>
        </w:rPr>
      </w:r>
      <w:r w:rsidRPr="00C16BD4">
        <w:rPr>
          <w:noProof/>
        </w:rPr>
        <w:fldChar w:fldCharType="separate"/>
      </w:r>
      <w:r w:rsidR="00EE271C">
        <w:rPr>
          <w:noProof/>
        </w:rPr>
        <w:t>73</w:t>
      </w:r>
      <w:r w:rsidRPr="00C16BD4">
        <w:rPr>
          <w:noProof/>
        </w:rPr>
        <w:fldChar w:fldCharType="end"/>
      </w:r>
    </w:p>
    <w:p w14:paraId="05FE96D6" w14:textId="60A8F344"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3—Transfers of value exemptions</w:t>
      </w:r>
      <w:r w:rsidRPr="00C16BD4">
        <w:rPr>
          <w:b w:val="0"/>
          <w:noProof/>
          <w:sz w:val="18"/>
        </w:rPr>
        <w:tab/>
      </w:r>
      <w:r w:rsidRPr="00C16BD4">
        <w:rPr>
          <w:b w:val="0"/>
          <w:noProof/>
          <w:sz w:val="18"/>
        </w:rPr>
        <w:fldChar w:fldCharType="begin"/>
      </w:r>
      <w:r w:rsidRPr="00C16BD4">
        <w:rPr>
          <w:b w:val="0"/>
          <w:noProof/>
          <w:sz w:val="18"/>
        </w:rPr>
        <w:instrText xml:space="preserve"> PAGEREF _Toc198225041 \h </w:instrText>
      </w:r>
      <w:r w:rsidRPr="00C16BD4">
        <w:rPr>
          <w:b w:val="0"/>
          <w:noProof/>
          <w:sz w:val="18"/>
        </w:rPr>
      </w:r>
      <w:r w:rsidRPr="00C16BD4">
        <w:rPr>
          <w:b w:val="0"/>
          <w:noProof/>
          <w:sz w:val="18"/>
        </w:rPr>
        <w:fldChar w:fldCharType="separate"/>
      </w:r>
      <w:r w:rsidR="00EE271C">
        <w:rPr>
          <w:b w:val="0"/>
          <w:noProof/>
          <w:sz w:val="18"/>
        </w:rPr>
        <w:t>75</w:t>
      </w:r>
      <w:r w:rsidRPr="00C16BD4">
        <w:rPr>
          <w:b w:val="0"/>
          <w:noProof/>
          <w:sz w:val="18"/>
        </w:rPr>
        <w:fldChar w:fldCharType="end"/>
      </w:r>
    </w:p>
    <w:p w14:paraId="12ED41B9" w14:textId="4EE13DF1"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6</w:t>
      </w:r>
      <w:r>
        <w:rPr>
          <w:noProof/>
        </w:rPr>
        <w:tab/>
        <w:t>Transfer of value exemptions</w:t>
      </w:r>
      <w:r w:rsidRPr="00C16BD4">
        <w:rPr>
          <w:noProof/>
        </w:rPr>
        <w:tab/>
      </w:r>
      <w:r w:rsidRPr="00C16BD4">
        <w:rPr>
          <w:noProof/>
        </w:rPr>
        <w:fldChar w:fldCharType="begin"/>
      </w:r>
      <w:r w:rsidRPr="00C16BD4">
        <w:rPr>
          <w:noProof/>
        </w:rPr>
        <w:instrText xml:space="preserve"> PAGEREF _Toc198225042 \h </w:instrText>
      </w:r>
      <w:r w:rsidRPr="00C16BD4">
        <w:rPr>
          <w:noProof/>
        </w:rPr>
      </w:r>
      <w:r w:rsidRPr="00C16BD4">
        <w:rPr>
          <w:noProof/>
        </w:rPr>
        <w:fldChar w:fldCharType="separate"/>
      </w:r>
      <w:r w:rsidR="00EE271C">
        <w:rPr>
          <w:noProof/>
        </w:rPr>
        <w:t>75</w:t>
      </w:r>
      <w:r w:rsidRPr="00C16BD4">
        <w:rPr>
          <w:noProof/>
        </w:rPr>
        <w:fldChar w:fldCharType="end"/>
      </w:r>
    </w:p>
    <w:p w14:paraId="32FF0F9A" w14:textId="7C858D17"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4—International value transfer services</w:t>
      </w:r>
      <w:r w:rsidRPr="00C16BD4">
        <w:rPr>
          <w:b w:val="0"/>
          <w:noProof/>
          <w:sz w:val="18"/>
        </w:rPr>
        <w:tab/>
      </w:r>
      <w:r w:rsidRPr="00C16BD4">
        <w:rPr>
          <w:b w:val="0"/>
          <w:noProof/>
          <w:sz w:val="18"/>
        </w:rPr>
        <w:fldChar w:fldCharType="begin"/>
      </w:r>
      <w:r w:rsidRPr="00C16BD4">
        <w:rPr>
          <w:b w:val="0"/>
          <w:noProof/>
          <w:sz w:val="18"/>
        </w:rPr>
        <w:instrText xml:space="preserve"> PAGEREF _Toc198225043 \h </w:instrText>
      </w:r>
      <w:r w:rsidRPr="00C16BD4">
        <w:rPr>
          <w:b w:val="0"/>
          <w:noProof/>
          <w:sz w:val="18"/>
        </w:rPr>
      </w:r>
      <w:r w:rsidRPr="00C16BD4">
        <w:rPr>
          <w:b w:val="0"/>
          <w:noProof/>
          <w:sz w:val="18"/>
        </w:rPr>
        <w:fldChar w:fldCharType="separate"/>
      </w:r>
      <w:r w:rsidR="00EE271C">
        <w:rPr>
          <w:b w:val="0"/>
          <w:noProof/>
          <w:sz w:val="18"/>
        </w:rPr>
        <w:t>76</w:t>
      </w:r>
      <w:r w:rsidRPr="00C16BD4">
        <w:rPr>
          <w:b w:val="0"/>
          <w:noProof/>
          <w:sz w:val="18"/>
        </w:rPr>
        <w:fldChar w:fldCharType="end"/>
      </w:r>
    </w:p>
    <w:p w14:paraId="7E066607" w14:textId="73582EF8"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7</w:t>
      </w:r>
      <w:r>
        <w:rPr>
          <w:noProof/>
        </w:rPr>
        <w:tab/>
        <w:t>When value is in a country</w:t>
      </w:r>
      <w:r w:rsidRPr="00C16BD4">
        <w:rPr>
          <w:noProof/>
        </w:rPr>
        <w:tab/>
      </w:r>
      <w:r w:rsidRPr="00C16BD4">
        <w:rPr>
          <w:noProof/>
        </w:rPr>
        <w:fldChar w:fldCharType="begin"/>
      </w:r>
      <w:r w:rsidRPr="00C16BD4">
        <w:rPr>
          <w:noProof/>
        </w:rPr>
        <w:instrText xml:space="preserve"> PAGEREF _Toc198225044 \h </w:instrText>
      </w:r>
      <w:r w:rsidRPr="00C16BD4">
        <w:rPr>
          <w:noProof/>
        </w:rPr>
      </w:r>
      <w:r w:rsidRPr="00C16BD4">
        <w:rPr>
          <w:noProof/>
        </w:rPr>
        <w:fldChar w:fldCharType="separate"/>
      </w:r>
      <w:r w:rsidR="00EE271C">
        <w:rPr>
          <w:noProof/>
        </w:rPr>
        <w:t>76</w:t>
      </w:r>
      <w:r w:rsidRPr="00C16BD4">
        <w:rPr>
          <w:noProof/>
        </w:rPr>
        <w:fldChar w:fldCharType="end"/>
      </w:r>
    </w:p>
    <w:p w14:paraId="568507A3" w14:textId="6AB13613" w:rsidR="00C16BD4" w:rsidRDefault="00C16BD4">
      <w:pPr>
        <w:pStyle w:val="TOC2"/>
        <w:rPr>
          <w:rFonts w:asciiTheme="minorHAnsi" w:eastAsiaTheme="minorEastAsia" w:hAnsiTheme="minorHAnsi" w:cstheme="minorBidi"/>
          <w:b w:val="0"/>
          <w:noProof/>
          <w:kern w:val="2"/>
          <w:szCs w:val="24"/>
          <w14:ligatures w14:val="standardContextual"/>
        </w:rPr>
      </w:pPr>
      <w:r>
        <w:rPr>
          <w:noProof/>
        </w:rPr>
        <w:t>Part 8—Reporting</w:t>
      </w:r>
      <w:r w:rsidRPr="00C16BD4">
        <w:rPr>
          <w:b w:val="0"/>
          <w:noProof/>
          <w:sz w:val="18"/>
        </w:rPr>
        <w:tab/>
      </w:r>
      <w:r w:rsidRPr="00C16BD4">
        <w:rPr>
          <w:b w:val="0"/>
          <w:noProof/>
          <w:sz w:val="18"/>
        </w:rPr>
        <w:fldChar w:fldCharType="begin"/>
      </w:r>
      <w:r w:rsidRPr="00C16BD4">
        <w:rPr>
          <w:b w:val="0"/>
          <w:noProof/>
          <w:sz w:val="18"/>
        </w:rPr>
        <w:instrText xml:space="preserve"> PAGEREF _Toc198225045 \h </w:instrText>
      </w:r>
      <w:r w:rsidRPr="00C16BD4">
        <w:rPr>
          <w:b w:val="0"/>
          <w:noProof/>
          <w:sz w:val="18"/>
        </w:rPr>
      </w:r>
      <w:r w:rsidRPr="00C16BD4">
        <w:rPr>
          <w:b w:val="0"/>
          <w:noProof/>
          <w:sz w:val="18"/>
        </w:rPr>
        <w:fldChar w:fldCharType="separate"/>
      </w:r>
      <w:r w:rsidR="00EE271C">
        <w:rPr>
          <w:b w:val="0"/>
          <w:noProof/>
          <w:sz w:val="18"/>
        </w:rPr>
        <w:t>77</w:t>
      </w:r>
      <w:r w:rsidRPr="00C16BD4">
        <w:rPr>
          <w:b w:val="0"/>
          <w:noProof/>
          <w:sz w:val="18"/>
        </w:rPr>
        <w:fldChar w:fldCharType="end"/>
      </w:r>
    </w:p>
    <w:p w14:paraId="4882E409" w14:textId="2D663FDA"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1—Reports of suspicious matters</w:t>
      </w:r>
      <w:r w:rsidRPr="00C16BD4">
        <w:rPr>
          <w:b w:val="0"/>
          <w:noProof/>
          <w:sz w:val="18"/>
        </w:rPr>
        <w:tab/>
      </w:r>
      <w:r w:rsidRPr="00C16BD4">
        <w:rPr>
          <w:b w:val="0"/>
          <w:noProof/>
          <w:sz w:val="18"/>
        </w:rPr>
        <w:fldChar w:fldCharType="begin"/>
      </w:r>
      <w:r w:rsidRPr="00C16BD4">
        <w:rPr>
          <w:b w:val="0"/>
          <w:noProof/>
          <w:sz w:val="18"/>
        </w:rPr>
        <w:instrText xml:space="preserve"> PAGEREF _Toc198225046 \h </w:instrText>
      </w:r>
      <w:r w:rsidRPr="00C16BD4">
        <w:rPr>
          <w:b w:val="0"/>
          <w:noProof/>
          <w:sz w:val="18"/>
        </w:rPr>
      </w:r>
      <w:r w:rsidRPr="00C16BD4">
        <w:rPr>
          <w:b w:val="0"/>
          <w:noProof/>
          <w:sz w:val="18"/>
        </w:rPr>
        <w:fldChar w:fldCharType="separate"/>
      </w:r>
      <w:r w:rsidR="00EE271C">
        <w:rPr>
          <w:b w:val="0"/>
          <w:noProof/>
          <w:sz w:val="18"/>
        </w:rPr>
        <w:t>77</w:t>
      </w:r>
      <w:r w:rsidRPr="00C16BD4">
        <w:rPr>
          <w:b w:val="0"/>
          <w:noProof/>
          <w:sz w:val="18"/>
        </w:rPr>
        <w:fldChar w:fldCharType="end"/>
      </w:r>
    </w:p>
    <w:p w14:paraId="607315B8" w14:textId="5FC3CB91"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w:t>
      </w:r>
      <w:r>
        <w:rPr>
          <w:noProof/>
        </w:rPr>
        <w:tab/>
        <w:t>Purpose of this Division</w:t>
      </w:r>
      <w:r w:rsidRPr="00C16BD4">
        <w:rPr>
          <w:noProof/>
        </w:rPr>
        <w:tab/>
      </w:r>
      <w:r w:rsidRPr="00C16BD4">
        <w:rPr>
          <w:noProof/>
        </w:rPr>
        <w:fldChar w:fldCharType="begin"/>
      </w:r>
      <w:r w:rsidRPr="00C16BD4">
        <w:rPr>
          <w:noProof/>
        </w:rPr>
        <w:instrText xml:space="preserve"> PAGEREF _Toc198225047 \h </w:instrText>
      </w:r>
      <w:r w:rsidRPr="00C16BD4">
        <w:rPr>
          <w:noProof/>
        </w:rPr>
      </w:r>
      <w:r w:rsidRPr="00C16BD4">
        <w:rPr>
          <w:noProof/>
        </w:rPr>
        <w:fldChar w:fldCharType="separate"/>
      </w:r>
      <w:r w:rsidR="00EE271C">
        <w:rPr>
          <w:noProof/>
        </w:rPr>
        <w:t>77</w:t>
      </w:r>
      <w:r w:rsidRPr="00C16BD4">
        <w:rPr>
          <w:noProof/>
        </w:rPr>
        <w:fldChar w:fldCharType="end"/>
      </w:r>
    </w:p>
    <w:p w14:paraId="3A1515A0" w14:textId="503B2755"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w:t>
      </w:r>
      <w:r>
        <w:rPr>
          <w:noProof/>
        </w:rPr>
        <w:tab/>
        <w:t>Reports of suspicious matters—general information</w:t>
      </w:r>
      <w:r w:rsidRPr="00C16BD4">
        <w:rPr>
          <w:noProof/>
        </w:rPr>
        <w:tab/>
      </w:r>
      <w:r w:rsidRPr="00C16BD4">
        <w:rPr>
          <w:noProof/>
        </w:rPr>
        <w:fldChar w:fldCharType="begin"/>
      </w:r>
      <w:r w:rsidRPr="00C16BD4">
        <w:rPr>
          <w:noProof/>
        </w:rPr>
        <w:instrText xml:space="preserve"> PAGEREF _Toc198225048 \h </w:instrText>
      </w:r>
      <w:r w:rsidRPr="00C16BD4">
        <w:rPr>
          <w:noProof/>
        </w:rPr>
      </w:r>
      <w:r w:rsidRPr="00C16BD4">
        <w:rPr>
          <w:noProof/>
        </w:rPr>
        <w:fldChar w:fldCharType="separate"/>
      </w:r>
      <w:r w:rsidR="00EE271C">
        <w:rPr>
          <w:noProof/>
        </w:rPr>
        <w:t>77</w:t>
      </w:r>
      <w:r w:rsidRPr="00C16BD4">
        <w:rPr>
          <w:noProof/>
        </w:rPr>
        <w:fldChar w:fldCharType="end"/>
      </w:r>
    </w:p>
    <w:p w14:paraId="55EB7689" w14:textId="0544A6E1"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3</w:t>
      </w:r>
      <w:r>
        <w:rPr>
          <w:noProof/>
        </w:rPr>
        <w:tab/>
        <w:t>Reports of suspicious matters—information about the person in relation to whom the suspicious matter reporting obligation arose for the reporting entity</w:t>
      </w:r>
      <w:r w:rsidRPr="00C16BD4">
        <w:rPr>
          <w:noProof/>
        </w:rPr>
        <w:tab/>
      </w:r>
      <w:r w:rsidRPr="00C16BD4">
        <w:rPr>
          <w:noProof/>
        </w:rPr>
        <w:fldChar w:fldCharType="begin"/>
      </w:r>
      <w:r w:rsidRPr="00C16BD4">
        <w:rPr>
          <w:noProof/>
        </w:rPr>
        <w:instrText xml:space="preserve"> PAGEREF _Toc198225049 \h </w:instrText>
      </w:r>
      <w:r w:rsidRPr="00C16BD4">
        <w:rPr>
          <w:noProof/>
        </w:rPr>
      </w:r>
      <w:r w:rsidRPr="00C16BD4">
        <w:rPr>
          <w:noProof/>
        </w:rPr>
        <w:fldChar w:fldCharType="separate"/>
      </w:r>
      <w:r w:rsidR="00EE271C">
        <w:rPr>
          <w:noProof/>
        </w:rPr>
        <w:t>78</w:t>
      </w:r>
      <w:r w:rsidRPr="00C16BD4">
        <w:rPr>
          <w:noProof/>
        </w:rPr>
        <w:fldChar w:fldCharType="end"/>
      </w:r>
    </w:p>
    <w:p w14:paraId="452F56B0" w14:textId="09794DF8"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4</w:t>
      </w:r>
      <w:r>
        <w:rPr>
          <w:noProof/>
        </w:rPr>
        <w:tab/>
        <w:t>Reports of suspicious matters—information about the matter</w:t>
      </w:r>
      <w:r w:rsidRPr="00C16BD4">
        <w:rPr>
          <w:noProof/>
        </w:rPr>
        <w:tab/>
      </w:r>
      <w:r w:rsidRPr="00C16BD4">
        <w:rPr>
          <w:noProof/>
        </w:rPr>
        <w:fldChar w:fldCharType="begin"/>
      </w:r>
      <w:r w:rsidRPr="00C16BD4">
        <w:rPr>
          <w:noProof/>
        </w:rPr>
        <w:instrText xml:space="preserve"> PAGEREF _Toc198225050 \h </w:instrText>
      </w:r>
      <w:r w:rsidRPr="00C16BD4">
        <w:rPr>
          <w:noProof/>
        </w:rPr>
      </w:r>
      <w:r w:rsidRPr="00C16BD4">
        <w:rPr>
          <w:noProof/>
        </w:rPr>
        <w:fldChar w:fldCharType="separate"/>
      </w:r>
      <w:r w:rsidR="00EE271C">
        <w:rPr>
          <w:noProof/>
        </w:rPr>
        <w:t>80</w:t>
      </w:r>
      <w:r w:rsidRPr="00C16BD4">
        <w:rPr>
          <w:noProof/>
        </w:rPr>
        <w:fldChar w:fldCharType="end"/>
      </w:r>
    </w:p>
    <w:p w14:paraId="441D6D83" w14:textId="528C4313"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2—Reports of threshold transactions</w:t>
      </w:r>
      <w:r w:rsidRPr="00C16BD4">
        <w:rPr>
          <w:b w:val="0"/>
          <w:noProof/>
          <w:sz w:val="18"/>
        </w:rPr>
        <w:tab/>
      </w:r>
      <w:r w:rsidRPr="00C16BD4">
        <w:rPr>
          <w:b w:val="0"/>
          <w:noProof/>
          <w:sz w:val="18"/>
        </w:rPr>
        <w:fldChar w:fldCharType="begin"/>
      </w:r>
      <w:r w:rsidRPr="00C16BD4">
        <w:rPr>
          <w:b w:val="0"/>
          <w:noProof/>
          <w:sz w:val="18"/>
        </w:rPr>
        <w:instrText xml:space="preserve"> PAGEREF _Toc198225051 \h </w:instrText>
      </w:r>
      <w:r w:rsidRPr="00C16BD4">
        <w:rPr>
          <w:b w:val="0"/>
          <w:noProof/>
          <w:sz w:val="18"/>
        </w:rPr>
      </w:r>
      <w:r w:rsidRPr="00C16BD4">
        <w:rPr>
          <w:b w:val="0"/>
          <w:noProof/>
          <w:sz w:val="18"/>
        </w:rPr>
        <w:fldChar w:fldCharType="separate"/>
      </w:r>
      <w:r w:rsidR="00EE271C">
        <w:rPr>
          <w:b w:val="0"/>
          <w:noProof/>
          <w:sz w:val="18"/>
        </w:rPr>
        <w:t>84</w:t>
      </w:r>
      <w:r w:rsidRPr="00C16BD4">
        <w:rPr>
          <w:b w:val="0"/>
          <w:noProof/>
          <w:sz w:val="18"/>
        </w:rPr>
        <w:fldChar w:fldCharType="end"/>
      </w:r>
    </w:p>
    <w:p w14:paraId="37FF10AF" w14:textId="2044FFA9"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5</w:t>
      </w:r>
      <w:r>
        <w:rPr>
          <w:noProof/>
        </w:rPr>
        <w:tab/>
        <w:t>Purpose of this Division</w:t>
      </w:r>
      <w:r w:rsidRPr="00C16BD4">
        <w:rPr>
          <w:noProof/>
        </w:rPr>
        <w:tab/>
      </w:r>
      <w:r w:rsidRPr="00C16BD4">
        <w:rPr>
          <w:noProof/>
        </w:rPr>
        <w:fldChar w:fldCharType="begin"/>
      </w:r>
      <w:r w:rsidRPr="00C16BD4">
        <w:rPr>
          <w:noProof/>
        </w:rPr>
        <w:instrText xml:space="preserve"> PAGEREF _Toc198225052 \h </w:instrText>
      </w:r>
      <w:r w:rsidRPr="00C16BD4">
        <w:rPr>
          <w:noProof/>
        </w:rPr>
      </w:r>
      <w:r w:rsidRPr="00C16BD4">
        <w:rPr>
          <w:noProof/>
        </w:rPr>
        <w:fldChar w:fldCharType="separate"/>
      </w:r>
      <w:r w:rsidR="00EE271C">
        <w:rPr>
          <w:noProof/>
        </w:rPr>
        <w:t>84</w:t>
      </w:r>
      <w:r w:rsidRPr="00C16BD4">
        <w:rPr>
          <w:noProof/>
        </w:rPr>
        <w:fldChar w:fldCharType="end"/>
      </w:r>
    </w:p>
    <w:p w14:paraId="4F2FD819" w14:textId="2828B575"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6</w:t>
      </w:r>
      <w:r>
        <w:rPr>
          <w:noProof/>
        </w:rPr>
        <w:tab/>
        <w:t>Reports of threshold transactions—general information</w:t>
      </w:r>
      <w:r w:rsidRPr="00C16BD4">
        <w:rPr>
          <w:noProof/>
        </w:rPr>
        <w:tab/>
      </w:r>
      <w:r w:rsidRPr="00C16BD4">
        <w:rPr>
          <w:noProof/>
        </w:rPr>
        <w:fldChar w:fldCharType="begin"/>
      </w:r>
      <w:r w:rsidRPr="00C16BD4">
        <w:rPr>
          <w:noProof/>
        </w:rPr>
        <w:instrText xml:space="preserve"> PAGEREF _Toc198225053 \h </w:instrText>
      </w:r>
      <w:r w:rsidRPr="00C16BD4">
        <w:rPr>
          <w:noProof/>
        </w:rPr>
      </w:r>
      <w:r w:rsidRPr="00C16BD4">
        <w:rPr>
          <w:noProof/>
        </w:rPr>
        <w:fldChar w:fldCharType="separate"/>
      </w:r>
      <w:r w:rsidR="00EE271C">
        <w:rPr>
          <w:noProof/>
        </w:rPr>
        <w:t>84</w:t>
      </w:r>
      <w:r w:rsidRPr="00C16BD4">
        <w:rPr>
          <w:noProof/>
        </w:rPr>
        <w:fldChar w:fldCharType="end"/>
      </w:r>
    </w:p>
    <w:p w14:paraId="79821EB4" w14:textId="13F6EA4E"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7</w:t>
      </w:r>
      <w:r>
        <w:rPr>
          <w:noProof/>
        </w:rPr>
        <w:tab/>
        <w:t>Reports of threshold transactions—information about the customer and other persons</w:t>
      </w:r>
      <w:r w:rsidRPr="00C16BD4">
        <w:rPr>
          <w:noProof/>
        </w:rPr>
        <w:tab/>
      </w:r>
      <w:r w:rsidRPr="00C16BD4">
        <w:rPr>
          <w:noProof/>
        </w:rPr>
        <w:fldChar w:fldCharType="begin"/>
      </w:r>
      <w:r w:rsidRPr="00C16BD4">
        <w:rPr>
          <w:noProof/>
        </w:rPr>
        <w:instrText xml:space="preserve"> PAGEREF _Toc198225054 \h </w:instrText>
      </w:r>
      <w:r w:rsidRPr="00C16BD4">
        <w:rPr>
          <w:noProof/>
        </w:rPr>
      </w:r>
      <w:r w:rsidRPr="00C16BD4">
        <w:rPr>
          <w:noProof/>
        </w:rPr>
        <w:fldChar w:fldCharType="separate"/>
      </w:r>
      <w:r w:rsidR="00EE271C">
        <w:rPr>
          <w:noProof/>
        </w:rPr>
        <w:t>84</w:t>
      </w:r>
      <w:r w:rsidRPr="00C16BD4">
        <w:rPr>
          <w:noProof/>
        </w:rPr>
        <w:fldChar w:fldCharType="end"/>
      </w:r>
    </w:p>
    <w:p w14:paraId="0FE0E79D" w14:textId="20B85E75"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8</w:t>
      </w:r>
      <w:r>
        <w:rPr>
          <w:noProof/>
        </w:rPr>
        <w:tab/>
        <w:t>Reports of threshold transactions—information about the transaction</w:t>
      </w:r>
      <w:r w:rsidRPr="00C16BD4">
        <w:rPr>
          <w:noProof/>
        </w:rPr>
        <w:tab/>
      </w:r>
      <w:r w:rsidRPr="00C16BD4">
        <w:rPr>
          <w:noProof/>
        </w:rPr>
        <w:fldChar w:fldCharType="begin"/>
      </w:r>
      <w:r w:rsidRPr="00C16BD4">
        <w:rPr>
          <w:noProof/>
        </w:rPr>
        <w:instrText xml:space="preserve"> PAGEREF _Toc198225055 \h </w:instrText>
      </w:r>
      <w:r w:rsidRPr="00C16BD4">
        <w:rPr>
          <w:noProof/>
        </w:rPr>
      </w:r>
      <w:r w:rsidRPr="00C16BD4">
        <w:rPr>
          <w:noProof/>
        </w:rPr>
        <w:fldChar w:fldCharType="separate"/>
      </w:r>
      <w:r w:rsidR="00EE271C">
        <w:rPr>
          <w:noProof/>
        </w:rPr>
        <w:t>86</w:t>
      </w:r>
      <w:r w:rsidRPr="00C16BD4">
        <w:rPr>
          <w:noProof/>
        </w:rPr>
        <w:fldChar w:fldCharType="end"/>
      </w:r>
    </w:p>
    <w:p w14:paraId="42222E34" w14:textId="672B0867"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3—International value transfer reports [to be drafted]</w:t>
      </w:r>
      <w:r w:rsidRPr="00C16BD4">
        <w:rPr>
          <w:b w:val="0"/>
          <w:noProof/>
          <w:sz w:val="18"/>
        </w:rPr>
        <w:tab/>
      </w:r>
      <w:r w:rsidRPr="00C16BD4">
        <w:rPr>
          <w:b w:val="0"/>
          <w:noProof/>
          <w:sz w:val="18"/>
        </w:rPr>
        <w:fldChar w:fldCharType="begin"/>
      </w:r>
      <w:r w:rsidRPr="00C16BD4">
        <w:rPr>
          <w:b w:val="0"/>
          <w:noProof/>
          <w:sz w:val="18"/>
        </w:rPr>
        <w:instrText xml:space="preserve"> PAGEREF _Toc198225056 \h </w:instrText>
      </w:r>
      <w:r w:rsidRPr="00C16BD4">
        <w:rPr>
          <w:b w:val="0"/>
          <w:noProof/>
          <w:sz w:val="18"/>
        </w:rPr>
      </w:r>
      <w:r w:rsidRPr="00C16BD4">
        <w:rPr>
          <w:b w:val="0"/>
          <w:noProof/>
          <w:sz w:val="18"/>
        </w:rPr>
        <w:fldChar w:fldCharType="separate"/>
      </w:r>
      <w:r w:rsidR="00EE271C">
        <w:rPr>
          <w:b w:val="0"/>
          <w:noProof/>
          <w:sz w:val="18"/>
        </w:rPr>
        <w:t>89</w:t>
      </w:r>
      <w:r w:rsidRPr="00C16BD4">
        <w:rPr>
          <w:b w:val="0"/>
          <w:noProof/>
          <w:sz w:val="18"/>
        </w:rPr>
        <w:fldChar w:fldCharType="end"/>
      </w:r>
    </w:p>
    <w:p w14:paraId="34535543" w14:textId="6606D596"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4—AML/CTF compliance reports</w:t>
      </w:r>
      <w:r w:rsidRPr="00C16BD4">
        <w:rPr>
          <w:b w:val="0"/>
          <w:noProof/>
          <w:sz w:val="18"/>
        </w:rPr>
        <w:tab/>
      </w:r>
      <w:r w:rsidRPr="00C16BD4">
        <w:rPr>
          <w:b w:val="0"/>
          <w:noProof/>
          <w:sz w:val="18"/>
        </w:rPr>
        <w:fldChar w:fldCharType="begin"/>
      </w:r>
      <w:r w:rsidRPr="00C16BD4">
        <w:rPr>
          <w:b w:val="0"/>
          <w:noProof/>
          <w:sz w:val="18"/>
        </w:rPr>
        <w:instrText xml:space="preserve"> PAGEREF _Toc198225057 \h </w:instrText>
      </w:r>
      <w:r w:rsidRPr="00C16BD4">
        <w:rPr>
          <w:b w:val="0"/>
          <w:noProof/>
          <w:sz w:val="18"/>
        </w:rPr>
      </w:r>
      <w:r w:rsidRPr="00C16BD4">
        <w:rPr>
          <w:b w:val="0"/>
          <w:noProof/>
          <w:sz w:val="18"/>
        </w:rPr>
        <w:fldChar w:fldCharType="separate"/>
      </w:r>
      <w:r w:rsidR="00EE271C">
        <w:rPr>
          <w:b w:val="0"/>
          <w:noProof/>
          <w:sz w:val="18"/>
        </w:rPr>
        <w:t>90</w:t>
      </w:r>
      <w:r w:rsidRPr="00C16BD4">
        <w:rPr>
          <w:b w:val="0"/>
          <w:noProof/>
          <w:sz w:val="18"/>
        </w:rPr>
        <w:fldChar w:fldCharType="end"/>
      </w:r>
    </w:p>
    <w:p w14:paraId="7BFAB30B" w14:textId="47D4463D"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9</w:t>
      </w:r>
      <w:r>
        <w:rPr>
          <w:noProof/>
        </w:rPr>
        <w:tab/>
        <w:t>Reporting and lodgement periods for AML/CTF compliance reports</w:t>
      </w:r>
      <w:r w:rsidRPr="00C16BD4">
        <w:rPr>
          <w:noProof/>
        </w:rPr>
        <w:tab/>
      </w:r>
      <w:r w:rsidRPr="00C16BD4">
        <w:rPr>
          <w:noProof/>
        </w:rPr>
        <w:fldChar w:fldCharType="begin"/>
      </w:r>
      <w:r w:rsidRPr="00C16BD4">
        <w:rPr>
          <w:noProof/>
        </w:rPr>
        <w:instrText xml:space="preserve"> PAGEREF _Toc198225058 \h </w:instrText>
      </w:r>
      <w:r w:rsidRPr="00C16BD4">
        <w:rPr>
          <w:noProof/>
        </w:rPr>
      </w:r>
      <w:r w:rsidRPr="00C16BD4">
        <w:rPr>
          <w:noProof/>
        </w:rPr>
        <w:fldChar w:fldCharType="separate"/>
      </w:r>
      <w:r w:rsidR="00EE271C">
        <w:rPr>
          <w:noProof/>
        </w:rPr>
        <w:t>90</w:t>
      </w:r>
      <w:r w:rsidRPr="00C16BD4">
        <w:rPr>
          <w:noProof/>
        </w:rPr>
        <w:fldChar w:fldCharType="end"/>
      </w:r>
    </w:p>
    <w:p w14:paraId="5BB3A6AE" w14:textId="0E8CBCDD"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Division 5—Registered remittance affiliates</w:t>
      </w:r>
      <w:r w:rsidRPr="00C16BD4">
        <w:rPr>
          <w:b w:val="0"/>
          <w:noProof/>
          <w:sz w:val="18"/>
        </w:rPr>
        <w:tab/>
      </w:r>
      <w:r w:rsidRPr="00C16BD4">
        <w:rPr>
          <w:b w:val="0"/>
          <w:noProof/>
          <w:sz w:val="18"/>
        </w:rPr>
        <w:fldChar w:fldCharType="begin"/>
      </w:r>
      <w:r w:rsidRPr="00C16BD4">
        <w:rPr>
          <w:b w:val="0"/>
          <w:noProof/>
          <w:sz w:val="18"/>
        </w:rPr>
        <w:instrText xml:space="preserve"> PAGEREF _Toc198225059 \h </w:instrText>
      </w:r>
      <w:r w:rsidRPr="00C16BD4">
        <w:rPr>
          <w:b w:val="0"/>
          <w:noProof/>
          <w:sz w:val="18"/>
        </w:rPr>
      </w:r>
      <w:r w:rsidRPr="00C16BD4">
        <w:rPr>
          <w:b w:val="0"/>
          <w:noProof/>
          <w:sz w:val="18"/>
        </w:rPr>
        <w:fldChar w:fldCharType="separate"/>
      </w:r>
      <w:r w:rsidR="00EE271C">
        <w:rPr>
          <w:b w:val="0"/>
          <w:noProof/>
          <w:sz w:val="18"/>
        </w:rPr>
        <w:t>91</w:t>
      </w:r>
      <w:r w:rsidRPr="00C16BD4">
        <w:rPr>
          <w:b w:val="0"/>
          <w:noProof/>
          <w:sz w:val="18"/>
        </w:rPr>
        <w:fldChar w:fldCharType="end"/>
      </w:r>
    </w:p>
    <w:p w14:paraId="160E3A74" w14:textId="5F4311F5"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10</w:t>
      </w:r>
      <w:r>
        <w:rPr>
          <w:noProof/>
        </w:rPr>
        <w:tab/>
        <w:t>Reporting obligations of registered remittance affiliates</w:t>
      </w:r>
      <w:r w:rsidRPr="00C16BD4">
        <w:rPr>
          <w:noProof/>
        </w:rPr>
        <w:tab/>
      </w:r>
      <w:r w:rsidRPr="00C16BD4">
        <w:rPr>
          <w:noProof/>
        </w:rPr>
        <w:fldChar w:fldCharType="begin"/>
      </w:r>
      <w:r w:rsidRPr="00C16BD4">
        <w:rPr>
          <w:noProof/>
        </w:rPr>
        <w:instrText xml:space="preserve"> PAGEREF _Toc198225060 \h </w:instrText>
      </w:r>
      <w:r w:rsidRPr="00C16BD4">
        <w:rPr>
          <w:noProof/>
        </w:rPr>
      </w:r>
      <w:r w:rsidRPr="00C16BD4">
        <w:rPr>
          <w:noProof/>
        </w:rPr>
        <w:fldChar w:fldCharType="separate"/>
      </w:r>
      <w:r w:rsidR="00EE271C">
        <w:rPr>
          <w:noProof/>
        </w:rPr>
        <w:t>91</w:t>
      </w:r>
      <w:r w:rsidRPr="00C16BD4">
        <w:rPr>
          <w:noProof/>
        </w:rPr>
        <w:fldChar w:fldCharType="end"/>
      </w:r>
    </w:p>
    <w:p w14:paraId="3AE5346E" w14:textId="59C8EAD7"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6—Cross</w:t>
      </w:r>
      <w:r>
        <w:rPr>
          <w:noProof/>
        </w:rPr>
        <w:noBreakHyphen/>
        <w:t>border movement reports</w:t>
      </w:r>
      <w:r w:rsidRPr="00C16BD4">
        <w:rPr>
          <w:b w:val="0"/>
          <w:noProof/>
          <w:sz w:val="18"/>
        </w:rPr>
        <w:tab/>
      </w:r>
      <w:r w:rsidRPr="00C16BD4">
        <w:rPr>
          <w:b w:val="0"/>
          <w:noProof/>
          <w:sz w:val="18"/>
        </w:rPr>
        <w:fldChar w:fldCharType="begin"/>
      </w:r>
      <w:r w:rsidRPr="00C16BD4">
        <w:rPr>
          <w:b w:val="0"/>
          <w:noProof/>
          <w:sz w:val="18"/>
        </w:rPr>
        <w:instrText xml:space="preserve"> PAGEREF _Toc198225061 \h </w:instrText>
      </w:r>
      <w:r w:rsidRPr="00C16BD4">
        <w:rPr>
          <w:b w:val="0"/>
          <w:noProof/>
          <w:sz w:val="18"/>
        </w:rPr>
      </w:r>
      <w:r w:rsidRPr="00C16BD4">
        <w:rPr>
          <w:b w:val="0"/>
          <w:noProof/>
          <w:sz w:val="18"/>
        </w:rPr>
        <w:fldChar w:fldCharType="separate"/>
      </w:r>
      <w:r w:rsidR="00EE271C">
        <w:rPr>
          <w:b w:val="0"/>
          <w:noProof/>
          <w:sz w:val="18"/>
        </w:rPr>
        <w:t>92</w:t>
      </w:r>
      <w:r w:rsidRPr="00C16BD4">
        <w:rPr>
          <w:b w:val="0"/>
          <w:noProof/>
          <w:sz w:val="18"/>
        </w:rPr>
        <w:fldChar w:fldCharType="end"/>
      </w:r>
    </w:p>
    <w:p w14:paraId="061933F6" w14:textId="17A5D969"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11</w:t>
      </w:r>
      <w:r>
        <w:rPr>
          <w:noProof/>
        </w:rPr>
        <w:tab/>
        <w:t>Purpose of this Division</w:t>
      </w:r>
      <w:r w:rsidRPr="00C16BD4">
        <w:rPr>
          <w:noProof/>
        </w:rPr>
        <w:tab/>
      </w:r>
      <w:r w:rsidRPr="00C16BD4">
        <w:rPr>
          <w:noProof/>
        </w:rPr>
        <w:fldChar w:fldCharType="begin"/>
      </w:r>
      <w:r w:rsidRPr="00C16BD4">
        <w:rPr>
          <w:noProof/>
        </w:rPr>
        <w:instrText xml:space="preserve"> PAGEREF _Toc198225062 \h </w:instrText>
      </w:r>
      <w:r w:rsidRPr="00C16BD4">
        <w:rPr>
          <w:noProof/>
        </w:rPr>
      </w:r>
      <w:r w:rsidRPr="00C16BD4">
        <w:rPr>
          <w:noProof/>
        </w:rPr>
        <w:fldChar w:fldCharType="separate"/>
      </w:r>
      <w:r w:rsidR="00EE271C">
        <w:rPr>
          <w:noProof/>
        </w:rPr>
        <w:t>92</w:t>
      </w:r>
      <w:r w:rsidRPr="00C16BD4">
        <w:rPr>
          <w:noProof/>
        </w:rPr>
        <w:fldChar w:fldCharType="end"/>
      </w:r>
    </w:p>
    <w:p w14:paraId="0FEB093C" w14:textId="1ACBE67B"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12</w:t>
      </w:r>
      <w:r>
        <w:rPr>
          <w:noProof/>
        </w:rPr>
        <w:tab/>
        <w:t>Reports about moving monetary instruments into or out of Australia</w:t>
      </w:r>
      <w:r w:rsidRPr="00C16BD4">
        <w:rPr>
          <w:noProof/>
        </w:rPr>
        <w:tab/>
      </w:r>
      <w:r w:rsidRPr="00C16BD4">
        <w:rPr>
          <w:noProof/>
        </w:rPr>
        <w:fldChar w:fldCharType="begin"/>
      </w:r>
      <w:r w:rsidRPr="00C16BD4">
        <w:rPr>
          <w:noProof/>
        </w:rPr>
        <w:instrText xml:space="preserve"> PAGEREF _Toc198225063 \h </w:instrText>
      </w:r>
      <w:r w:rsidRPr="00C16BD4">
        <w:rPr>
          <w:noProof/>
        </w:rPr>
      </w:r>
      <w:r w:rsidRPr="00C16BD4">
        <w:rPr>
          <w:noProof/>
        </w:rPr>
        <w:fldChar w:fldCharType="separate"/>
      </w:r>
      <w:r w:rsidR="00EE271C">
        <w:rPr>
          <w:noProof/>
        </w:rPr>
        <w:t>92</w:t>
      </w:r>
      <w:r w:rsidRPr="00C16BD4">
        <w:rPr>
          <w:noProof/>
        </w:rPr>
        <w:fldChar w:fldCharType="end"/>
      </w:r>
    </w:p>
    <w:p w14:paraId="46CE045C" w14:textId="45253A98"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13</w:t>
      </w:r>
      <w:r>
        <w:rPr>
          <w:noProof/>
        </w:rPr>
        <w:tab/>
        <w:t>Reports about receiving monetary instruments moved into Australia</w:t>
      </w:r>
      <w:r w:rsidRPr="00C16BD4">
        <w:rPr>
          <w:noProof/>
        </w:rPr>
        <w:tab/>
      </w:r>
      <w:r w:rsidRPr="00C16BD4">
        <w:rPr>
          <w:noProof/>
        </w:rPr>
        <w:fldChar w:fldCharType="begin"/>
      </w:r>
      <w:r w:rsidRPr="00C16BD4">
        <w:rPr>
          <w:noProof/>
        </w:rPr>
        <w:instrText xml:space="preserve"> PAGEREF _Toc198225064 \h </w:instrText>
      </w:r>
      <w:r w:rsidRPr="00C16BD4">
        <w:rPr>
          <w:noProof/>
        </w:rPr>
      </w:r>
      <w:r w:rsidRPr="00C16BD4">
        <w:rPr>
          <w:noProof/>
        </w:rPr>
        <w:fldChar w:fldCharType="separate"/>
      </w:r>
      <w:r w:rsidR="00EE271C">
        <w:rPr>
          <w:noProof/>
        </w:rPr>
        <w:t>94</w:t>
      </w:r>
      <w:r w:rsidRPr="00C16BD4">
        <w:rPr>
          <w:noProof/>
        </w:rPr>
        <w:fldChar w:fldCharType="end"/>
      </w:r>
    </w:p>
    <w:p w14:paraId="688A14C9" w14:textId="4F9F3957"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14</w:t>
      </w:r>
      <w:r>
        <w:rPr>
          <w:noProof/>
        </w:rPr>
        <w:tab/>
        <w:t>Affixing of notices about cross</w:t>
      </w:r>
      <w:r>
        <w:rPr>
          <w:noProof/>
        </w:rPr>
        <w:noBreakHyphen/>
        <w:t>border movement reporting obligations</w:t>
      </w:r>
      <w:r w:rsidRPr="00C16BD4">
        <w:rPr>
          <w:noProof/>
        </w:rPr>
        <w:tab/>
      </w:r>
      <w:r w:rsidRPr="00C16BD4">
        <w:rPr>
          <w:noProof/>
        </w:rPr>
        <w:fldChar w:fldCharType="begin"/>
      </w:r>
      <w:r w:rsidRPr="00C16BD4">
        <w:rPr>
          <w:noProof/>
        </w:rPr>
        <w:instrText xml:space="preserve"> PAGEREF _Toc198225065 \h </w:instrText>
      </w:r>
      <w:r w:rsidRPr="00C16BD4">
        <w:rPr>
          <w:noProof/>
        </w:rPr>
      </w:r>
      <w:r w:rsidRPr="00C16BD4">
        <w:rPr>
          <w:noProof/>
        </w:rPr>
        <w:fldChar w:fldCharType="separate"/>
      </w:r>
      <w:r w:rsidR="00EE271C">
        <w:rPr>
          <w:noProof/>
        </w:rPr>
        <w:t>96</w:t>
      </w:r>
      <w:r w:rsidRPr="00C16BD4">
        <w:rPr>
          <w:noProof/>
        </w:rPr>
        <w:fldChar w:fldCharType="end"/>
      </w:r>
    </w:p>
    <w:p w14:paraId="144C5B48" w14:textId="65BD0326" w:rsidR="00C16BD4" w:rsidRDefault="00C16BD4">
      <w:pPr>
        <w:pStyle w:val="TOC2"/>
        <w:rPr>
          <w:rFonts w:asciiTheme="minorHAnsi" w:eastAsiaTheme="minorEastAsia" w:hAnsiTheme="minorHAnsi" w:cstheme="minorBidi"/>
          <w:b w:val="0"/>
          <w:noProof/>
          <w:kern w:val="2"/>
          <w:szCs w:val="24"/>
          <w14:ligatures w14:val="standardContextual"/>
        </w:rPr>
      </w:pPr>
      <w:r>
        <w:rPr>
          <w:noProof/>
        </w:rPr>
        <w:t>Part 9—Secrecy and access</w:t>
      </w:r>
      <w:r w:rsidRPr="00C16BD4">
        <w:rPr>
          <w:b w:val="0"/>
          <w:noProof/>
          <w:sz w:val="18"/>
        </w:rPr>
        <w:tab/>
      </w:r>
      <w:r w:rsidRPr="00C16BD4">
        <w:rPr>
          <w:b w:val="0"/>
          <w:noProof/>
          <w:sz w:val="18"/>
        </w:rPr>
        <w:fldChar w:fldCharType="begin"/>
      </w:r>
      <w:r w:rsidRPr="00C16BD4">
        <w:rPr>
          <w:b w:val="0"/>
          <w:noProof/>
          <w:sz w:val="18"/>
        </w:rPr>
        <w:instrText xml:space="preserve"> PAGEREF _Toc198225066 \h </w:instrText>
      </w:r>
      <w:r w:rsidRPr="00C16BD4">
        <w:rPr>
          <w:b w:val="0"/>
          <w:noProof/>
          <w:sz w:val="18"/>
        </w:rPr>
      </w:r>
      <w:r w:rsidRPr="00C16BD4">
        <w:rPr>
          <w:b w:val="0"/>
          <w:noProof/>
          <w:sz w:val="18"/>
        </w:rPr>
        <w:fldChar w:fldCharType="separate"/>
      </w:r>
      <w:r w:rsidR="00EE271C">
        <w:rPr>
          <w:b w:val="0"/>
          <w:noProof/>
          <w:sz w:val="18"/>
        </w:rPr>
        <w:t>97</w:t>
      </w:r>
      <w:r w:rsidRPr="00C16BD4">
        <w:rPr>
          <w:b w:val="0"/>
          <w:noProof/>
          <w:sz w:val="18"/>
        </w:rPr>
        <w:fldChar w:fldCharType="end"/>
      </w:r>
    </w:p>
    <w:p w14:paraId="5056A116" w14:textId="5FA5F19F"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w:t>
      </w:r>
      <w:r>
        <w:rPr>
          <w:noProof/>
        </w:rPr>
        <w:tab/>
        <w:t>Disclosure of AUSTRAC information to foreign countries or agencies</w:t>
      </w:r>
      <w:r w:rsidRPr="00C16BD4">
        <w:rPr>
          <w:noProof/>
        </w:rPr>
        <w:tab/>
      </w:r>
      <w:r w:rsidRPr="00C16BD4">
        <w:rPr>
          <w:noProof/>
        </w:rPr>
        <w:fldChar w:fldCharType="begin"/>
      </w:r>
      <w:r w:rsidRPr="00C16BD4">
        <w:rPr>
          <w:noProof/>
        </w:rPr>
        <w:instrText xml:space="preserve"> PAGEREF _Toc198225067 \h </w:instrText>
      </w:r>
      <w:r w:rsidRPr="00C16BD4">
        <w:rPr>
          <w:noProof/>
        </w:rPr>
      </w:r>
      <w:r w:rsidRPr="00C16BD4">
        <w:rPr>
          <w:noProof/>
        </w:rPr>
        <w:fldChar w:fldCharType="separate"/>
      </w:r>
      <w:r w:rsidR="00EE271C">
        <w:rPr>
          <w:noProof/>
        </w:rPr>
        <w:t>97</w:t>
      </w:r>
      <w:r w:rsidRPr="00C16BD4">
        <w:rPr>
          <w:noProof/>
        </w:rPr>
        <w:fldChar w:fldCharType="end"/>
      </w:r>
    </w:p>
    <w:p w14:paraId="266EB138" w14:textId="58FC4255" w:rsidR="00C16BD4" w:rsidRDefault="00C16BD4">
      <w:pPr>
        <w:pStyle w:val="TOC2"/>
        <w:rPr>
          <w:rFonts w:asciiTheme="minorHAnsi" w:eastAsiaTheme="minorEastAsia" w:hAnsiTheme="minorHAnsi" w:cstheme="minorBidi"/>
          <w:b w:val="0"/>
          <w:noProof/>
          <w:kern w:val="2"/>
          <w:szCs w:val="24"/>
          <w14:ligatures w14:val="standardContextual"/>
        </w:rPr>
      </w:pPr>
      <w:r>
        <w:rPr>
          <w:noProof/>
        </w:rPr>
        <w:t>Part 10—Other matters</w:t>
      </w:r>
      <w:r w:rsidRPr="00C16BD4">
        <w:rPr>
          <w:b w:val="0"/>
          <w:noProof/>
          <w:sz w:val="18"/>
        </w:rPr>
        <w:tab/>
      </w:r>
      <w:r w:rsidRPr="00C16BD4">
        <w:rPr>
          <w:b w:val="0"/>
          <w:noProof/>
          <w:sz w:val="18"/>
        </w:rPr>
        <w:fldChar w:fldCharType="begin"/>
      </w:r>
      <w:r w:rsidRPr="00C16BD4">
        <w:rPr>
          <w:b w:val="0"/>
          <w:noProof/>
          <w:sz w:val="18"/>
        </w:rPr>
        <w:instrText xml:space="preserve"> PAGEREF _Toc198225068 \h </w:instrText>
      </w:r>
      <w:r w:rsidRPr="00C16BD4">
        <w:rPr>
          <w:b w:val="0"/>
          <w:noProof/>
          <w:sz w:val="18"/>
        </w:rPr>
      </w:r>
      <w:r w:rsidRPr="00C16BD4">
        <w:rPr>
          <w:b w:val="0"/>
          <w:noProof/>
          <w:sz w:val="18"/>
        </w:rPr>
        <w:fldChar w:fldCharType="separate"/>
      </w:r>
      <w:r w:rsidR="00EE271C">
        <w:rPr>
          <w:b w:val="0"/>
          <w:noProof/>
          <w:sz w:val="18"/>
        </w:rPr>
        <w:t>98</w:t>
      </w:r>
      <w:r w:rsidRPr="00C16BD4">
        <w:rPr>
          <w:b w:val="0"/>
          <w:noProof/>
          <w:sz w:val="18"/>
        </w:rPr>
        <w:fldChar w:fldCharType="end"/>
      </w:r>
    </w:p>
    <w:p w14:paraId="7F917E37" w14:textId="1CBA83E4"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1</w:t>
      </w:r>
      <w:r>
        <w:rPr>
          <w:noProof/>
        </w:rPr>
        <w:tab/>
        <w:t>False or misleading information</w:t>
      </w:r>
      <w:r w:rsidRPr="00C16BD4">
        <w:rPr>
          <w:noProof/>
        </w:rPr>
        <w:tab/>
      </w:r>
      <w:r w:rsidRPr="00C16BD4">
        <w:rPr>
          <w:noProof/>
        </w:rPr>
        <w:fldChar w:fldCharType="begin"/>
      </w:r>
      <w:r w:rsidRPr="00C16BD4">
        <w:rPr>
          <w:noProof/>
        </w:rPr>
        <w:instrText xml:space="preserve"> PAGEREF _Toc198225069 \h </w:instrText>
      </w:r>
      <w:r w:rsidRPr="00C16BD4">
        <w:rPr>
          <w:noProof/>
        </w:rPr>
      </w:r>
      <w:r w:rsidRPr="00C16BD4">
        <w:rPr>
          <w:noProof/>
        </w:rPr>
        <w:fldChar w:fldCharType="separate"/>
      </w:r>
      <w:r w:rsidR="00EE271C">
        <w:rPr>
          <w:noProof/>
        </w:rPr>
        <w:t>98</w:t>
      </w:r>
      <w:r w:rsidRPr="00C16BD4">
        <w:rPr>
          <w:noProof/>
        </w:rPr>
        <w:fldChar w:fldCharType="end"/>
      </w:r>
    </w:p>
    <w:p w14:paraId="0BA4121F" w14:textId="71AA9B6E"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2</w:t>
      </w:r>
      <w:r>
        <w:rPr>
          <w:noProof/>
        </w:rPr>
        <w:tab/>
        <w:t>Conditions for discharge of obligations by members of a reporting group</w:t>
      </w:r>
      <w:r w:rsidRPr="00C16BD4">
        <w:rPr>
          <w:noProof/>
        </w:rPr>
        <w:tab/>
      </w:r>
      <w:r w:rsidRPr="00C16BD4">
        <w:rPr>
          <w:noProof/>
        </w:rPr>
        <w:fldChar w:fldCharType="begin"/>
      </w:r>
      <w:r w:rsidRPr="00C16BD4">
        <w:rPr>
          <w:noProof/>
        </w:rPr>
        <w:instrText xml:space="preserve"> PAGEREF _Toc198225070 \h </w:instrText>
      </w:r>
      <w:r w:rsidRPr="00C16BD4">
        <w:rPr>
          <w:noProof/>
        </w:rPr>
      </w:r>
      <w:r w:rsidRPr="00C16BD4">
        <w:rPr>
          <w:noProof/>
        </w:rPr>
        <w:fldChar w:fldCharType="separate"/>
      </w:r>
      <w:r w:rsidR="00EE271C">
        <w:rPr>
          <w:noProof/>
        </w:rPr>
        <w:t>98</w:t>
      </w:r>
      <w:r w:rsidRPr="00C16BD4">
        <w:rPr>
          <w:noProof/>
        </w:rPr>
        <w:fldChar w:fldCharType="end"/>
      </w:r>
    </w:p>
    <w:p w14:paraId="3057F8C5" w14:textId="2E40543F" w:rsidR="00C16BD4" w:rsidRDefault="00C16BD4">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3</w:t>
      </w:r>
      <w:r>
        <w:rPr>
          <w:noProof/>
        </w:rPr>
        <w:tab/>
        <w:t>Discharge of obligations by members of a reporting group that are not reporting entities</w:t>
      </w:r>
      <w:r w:rsidRPr="00C16BD4">
        <w:rPr>
          <w:noProof/>
        </w:rPr>
        <w:tab/>
      </w:r>
      <w:r w:rsidRPr="00C16BD4">
        <w:rPr>
          <w:noProof/>
        </w:rPr>
        <w:fldChar w:fldCharType="begin"/>
      </w:r>
      <w:r w:rsidRPr="00C16BD4">
        <w:rPr>
          <w:noProof/>
        </w:rPr>
        <w:instrText xml:space="preserve"> PAGEREF _Toc198225071 \h </w:instrText>
      </w:r>
      <w:r w:rsidRPr="00C16BD4">
        <w:rPr>
          <w:noProof/>
        </w:rPr>
      </w:r>
      <w:r w:rsidRPr="00C16BD4">
        <w:rPr>
          <w:noProof/>
        </w:rPr>
        <w:fldChar w:fldCharType="separate"/>
      </w:r>
      <w:r w:rsidR="00EE271C">
        <w:rPr>
          <w:noProof/>
        </w:rPr>
        <w:t>98</w:t>
      </w:r>
      <w:r w:rsidRPr="00C16BD4">
        <w:rPr>
          <w:noProof/>
        </w:rPr>
        <w:fldChar w:fldCharType="end"/>
      </w:r>
    </w:p>
    <w:p w14:paraId="39EF5850" w14:textId="3A2E397A" w:rsidR="00C16BD4" w:rsidRDefault="00C16BD4">
      <w:pPr>
        <w:pStyle w:val="TOC2"/>
        <w:rPr>
          <w:rFonts w:asciiTheme="minorHAnsi" w:eastAsiaTheme="minorEastAsia" w:hAnsiTheme="minorHAnsi" w:cstheme="minorBidi"/>
          <w:b w:val="0"/>
          <w:noProof/>
          <w:kern w:val="2"/>
          <w:szCs w:val="24"/>
          <w14:ligatures w14:val="standardContextual"/>
        </w:rPr>
      </w:pPr>
      <w:r>
        <w:rPr>
          <w:noProof/>
        </w:rPr>
        <w:t>Part 11—Application, saving and transitional provisions [to be drafted]</w:t>
      </w:r>
      <w:r w:rsidRPr="00C16BD4">
        <w:rPr>
          <w:b w:val="0"/>
          <w:noProof/>
          <w:sz w:val="18"/>
        </w:rPr>
        <w:tab/>
      </w:r>
      <w:r w:rsidRPr="00C16BD4">
        <w:rPr>
          <w:b w:val="0"/>
          <w:noProof/>
          <w:sz w:val="18"/>
        </w:rPr>
        <w:fldChar w:fldCharType="begin"/>
      </w:r>
      <w:r w:rsidRPr="00C16BD4">
        <w:rPr>
          <w:b w:val="0"/>
          <w:noProof/>
          <w:sz w:val="18"/>
        </w:rPr>
        <w:instrText xml:space="preserve"> PAGEREF _Toc198225072 \h </w:instrText>
      </w:r>
      <w:r w:rsidRPr="00C16BD4">
        <w:rPr>
          <w:b w:val="0"/>
          <w:noProof/>
          <w:sz w:val="18"/>
        </w:rPr>
      </w:r>
      <w:r w:rsidRPr="00C16BD4">
        <w:rPr>
          <w:b w:val="0"/>
          <w:noProof/>
          <w:sz w:val="18"/>
        </w:rPr>
        <w:fldChar w:fldCharType="separate"/>
      </w:r>
      <w:r w:rsidR="00EE271C">
        <w:rPr>
          <w:b w:val="0"/>
          <w:noProof/>
          <w:sz w:val="18"/>
        </w:rPr>
        <w:t>99</w:t>
      </w:r>
      <w:r w:rsidRPr="00C16BD4">
        <w:rPr>
          <w:b w:val="0"/>
          <w:noProof/>
          <w:sz w:val="18"/>
        </w:rPr>
        <w:fldChar w:fldCharType="end"/>
      </w:r>
    </w:p>
    <w:p w14:paraId="2E1BB820" w14:textId="6A974883" w:rsidR="00C16BD4" w:rsidRDefault="00C16BD4">
      <w:pPr>
        <w:pStyle w:val="TOC1"/>
        <w:rPr>
          <w:rFonts w:asciiTheme="minorHAnsi" w:eastAsiaTheme="minorEastAsia" w:hAnsiTheme="minorHAnsi" w:cstheme="minorBidi"/>
          <w:b w:val="0"/>
          <w:noProof/>
          <w:kern w:val="2"/>
          <w:sz w:val="24"/>
          <w:szCs w:val="24"/>
          <w14:ligatures w14:val="standardContextual"/>
        </w:rPr>
      </w:pPr>
      <w:r>
        <w:rPr>
          <w:noProof/>
        </w:rPr>
        <w:t>Schedule 1—Forms</w:t>
      </w:r>
      <w:r w:rsidRPr="00C16BD4">
        <w:rPr>
          <w:b w:val="0"/>
          <w:noProof/>
          <w:sz w:val="18"/>
        </w:rPr>
        <w:tab/>
      </w:r>
      <w:r w:rsidRPr="00C16BD4">
        <w:rPr>
          <w:b w:val="0"/>
          <w:noProof/>
          <w:sz w:val="18"/>
        </w:rPr>
        <w:fldChar w:fldCharType="begin"/>
      </w:r>
      <w:r w:rsidRPr="00C16BD4">
        <w:rPr>
          <w:b w:val="0"/>
          <w:noProof/>
          <w:sz w:val="18"/>
        </w:rPr>
        <w:instrText xml:space="preserve"> PAGEREF _Toc198225073 \h </w:instrText>
      </w:r>
      <w:r w:rsidRPr="00C16BD4">
        <w:rPr>
          <w:b w:val="0"/>
          <w:noProof/>
          <w:sz w:val="18"/>
        </w:rPr>
      </w:r>
      <w:r w:rsidRPr="00C16BD4">
        <w:rPr>
          <w:b w:val="0"/>
          <w:noProof/>
          <w:sz w:val="18"/>
        </w:rPr>
        <w:fldChar w:fldCharType="separate"/>
      </w:r>
      <w:r w:rsidR="00EE271C">
        <w:rPr>
          <w:b w:val="0"/>
          <w:noProof/>
          <w:sz w:val="18"/>
        </w:rPr>
        <w:t>100</w:t>
      </w:r>
      <w:r w:rsidRPr="00C16BD4">
        <w:rPr>
          <w:b w:val="0"/>
          <w:noProof/>
          <w:sz w:val="18"/>
        </w:rPr>
        <w:fldChar w:fldCharType="end"/>
      </w:r>
    </w:p>
    <w:p w14:paraId="78736CE7" w14:textId="63CD6598"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Form 1—Keep open notice</w:t>
      </w:r>
      <w:r w:rsidRPr="00C16BD4">
        <w:rPr>
          <w:b w:val="0"/>
          <w:noProof/>
          <w:sz w:val="18"/>
        </w:rPr>
        <w:tab/>
      </w:r>
      <w:r w:rsidRPr="00C16BD4">
        <w:rPr>
          <w:b w:val="0"/>
          <w:noProof/>
          <w:sz w:val="18"/>
        </w:rPr>
        <w:fldChar w:fldCharType="begin"/>
      </w:r>
      <w:r w:rsidRPr="00C16BD4">
        <w:rPr>
          <w:b w:val="0"/>
          <w:noProof/>
          <w:sz w:val="18"/>
        </w:rPr>
        <w:instrText xml:space="preserve"> PAGEREF _Toc198225074 \h </w:instrText>
      </w:r>
      <w:r w:rsidRPr="00C16BD4">
        <w:rPr>
          <w:b w:val="0"/>
          <w:noProof/>
          <w:sz w:val="18"/>
        </w:rPr>
      </w:r>
      <w:r w:rsidRPr="00C16BD4">
        <w:rPr>
          <w:b w:val="0"/>
          <w:noProof/>
          <w:sz w:val="18"/>
        </w:rPr>
        <w:fldChar w:fldCharType="separate"/>
      </w:r>
      <w:r w:rsidR="00EE271C">
        <w:rPr>
          <w:b w:val="0"/>
          <w:noProof/>
          <w:sz w:val="18"/>
        </w:rPr>
        <w:t>100</w:t>
      </w:r>
      <w:r w:rsidRPr="00C16BD4">
        <w:rPr>
          <w:b w:val="0"/>
          <w:noProof/>
          <w:sz w:val="18"/>
        </w:rPr>
        <w:fldChar w:fldCharType="end"/>
      </w:r>
    </w:p>
    <w:p w14:paraId="7F25CC7B" w14:textId="1CEC8D6A"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Form 2—Extension notice</w:t>
      </w:r>
      <w:r w:rsidRPr="00C16BD4">
        <w:rPr>
          <w:b w:val="0"/>
          <w:noProof/>
          <w:sz w:val="18"/>
        </w:rPr>
        <w:tab/>
      </w:r>
      <w:r w:rsidRPr="00C16BD4">
        <w:rPr>
          <w:b w:val="0"/>
          <w:noProof/>
          <w:sz w:val="18"/>
        </w:rPr>
        <w:fldChar w:fldCharType="begin"/>
      </w:r>
      <w:r w:rsidRPr="00C16BD4">
        <w:rPr>
          <w:b w:val="0"/>
          <w:noProof/>
          <w:sz w:val="18"/>
        </w:rPr>
        <w:instrText xml:space="preserve"> PAGEREF _Toc198225075 \h </w:instrText>
      </w:r>
      <w:r w:rsidRPr="00C16BD4">
        <w:rPr>
          <w:b w:val="0"/>
          <w:noProof/>
          <w:sz w:val="18"/>
        </w:rPr>
      </w:r>
      <w:r w:rsidRPr="00C16BD4">
        <w:rPr>
          <w:b w:val="0"/>
          <w:noProof/>
          <w:sz w:val="18"/>
        </w:rPr>
        <w:fldChar w:fldCharType="separate"/>
      </w:r>
      <w:r w:rsidR="00EE271C">
        <w:rPr>
          <w:b w:val="0"/>
          <w:noProof/>
          <w:sz w:val="18"/>
        </w:rPr>
        <w:t>102</w:t>
      </w:r>
      <w:r w:rsidRPr="00C16BD4">
        <w:rPr>
          <w:b w:val="0"/>
          <w:noProof/>
          <w:sz w:val="18"/>
        </w:rPr>
        <w:fldChar w:fldCharType="end"/>
      </w:r>
    </w:p>
    <w:p w14:paraId="6822808B" w14:textId="42FBC363" w:rsidR="00C16BD4" w:rsidRDefault="00C16BD4">
      <w:pPr>
        <w:pStyle w:val="TOC3"/>
        <w:rPr>
          <w:rFonts w:asciiTheme="minorHAnsi" w:eastAsiaTheme="minorEastAsia" w:hAnsiTheme="minorHAnsi" w:cstheme="minorBidi"/>
          <w:b w:val="0"/>
          <w:noProof/>
          <w:kern w:val="2"/>
          <w:sz w:val="24"/>
          <w:szCs w:val="24"/>
          <w14:ligatures w14:val="standardContextual"/>
        </w:rPr>
      </w:pPr>
      <w:r>
        <w:rPr>
          <w:noProof/>
        </w:rPr>
        <w:t>Form 3—Application to issue extension notice</w:t>
      </w:r>
      <w:r w:rsidRPr="00C16BD4">
        <w:rPr>
          <w:b w:val="0"/>
          <w:noProof/>
          <w:sz w:val="18"/>
        </w:rPr>
        <w:tab/>
      </w:r>
      <w:r w:rsidRPr="00C16BD4">
        <w:rPr>
          <w:b w:val="0"/>
          <w:noProof/>
          <w:sz w:val="18"/>
        </w:rPr>
        <w:fldChar w:fldCharType="begin"/>
      </w:r>
      <w:r w:rsidRPr="00C16BD4">
        <w:rPr>
          <w:b w:val="0"/>
          <w:noProof/>
          <w:sz w:val="18"/>
        </w:rPr>
        <w:instrText xml:space="preserve"> PAGEREF _Toc198225076 \h </w:instrText>
      </w:r>
      <w:r w:rsidRPr="00C16BD4">
        <w:rPr>
          <w:b w:val="0"/>
          <w:noProof/>
          <w:sz w:val="18"/>
        </w:rPr>
      </w:r>
      <w:r w:rsidRPr="00C16BD4">
        <w:rPr>
          <w:b w:val="0"/>
          <w:noProof/>
          <w:sz w:val="18"/>
        </w:rPr>
        <w:fldChar w:fldCharType="separate"/>
      </w:r>
      <w:r w:rsidR="00EE271C">
        <w:rPr>
          <w:b w:val="0"/>
          <w:noProof/>
          <w:sz w:val="18"/>
        </w:rPr>
        <w:t>104</w:t>
      </w:r>
      <w:r w:rsidRPr="00C16BD4">
        <w:rPr>
          <w:b w:val="0"/>
          <w:noProof/>
          <w:sz w:val="18"/>
        </w:rPr>
        <w:fldChar w:fldCharType="end"/>
      </w:r>
    </w:p>
    <w:p w14:paraId="6DE46CAE" w14:textId="0EAA4A10" w:rsidR="00670EA1" w:rsidRPr="00D525A4" w:rsidRDefault="00C16BD4" w:rsidP="00715914">
      <w:r>
        <w:fldChar w:fldCharType="end"/>
      </w:r>
    </w:p>
    <w:p w14:paraId="6F2A39C2" w14:textId="77777777" w:rsidR="00670EA1" w:rsidRPr="00D525A4" w:rsidRDefault="00670EA1" w:rsidP="00715914">
      <w:pPr>
        <w:sectPr w:rsidR="00670EA1" w:rsidRPr="00D525A4" w:rsidSect="0086528C">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41F6ACB4" w14:textId="45992CA7" w:rsidR="00715914" w:rsidRPr="00D525A4" w:rsidRDefault="0013261E" w:rsidP="00715914">
      <w:pPr>
        <w:pStyle w:val="ActHead2"/>
      </w:pPr>
      <w:bookmarkStart w:id="0" w:name="_Toc198224896"/>
      <w:r w:rsidRPr="00D525A4">
        <w:rPr>
          <w:rStyle w:val="CharPartNo"/>
        </w:rPr>
        <w:lastRenderedPageBreak/>
        <w:t>Part 1</w:t>
      </w:r>
      <w:r w:rsidR="00715914" w:rsidRPr="00D525A4">
        <w:t>—</w:t>
      </w:r>
      <w:r w:rsidR="00715914" w:rsidRPr="00D525A4">
        <w:rPr>
          <w:rStyle w:val="CharPartText"/>
        </w:rPr>
        <w:t>Preliminary</w:t>
      </w:r>
      <w:bookmarkEnd w:id="0"/>
    </w:p>
    <w:p w14:paraId="2F4C5E84" w14:textId="77777777" w:rsidR="0020657D" w:rsidRPr="00D525A4" w:rsidRDefault="0020657D" w:rsidP="0020657D">
      <w:pPr>
        <w:pStyle w:val="Header"/>
      </w:pPr>
      <w:r w:rsidRPr="00D525A4">
        <w:rPr>
          <w:rStyle w:val="CharDivNo"/>
        </w:rPr>
        <w:t xml:space="preserve"> </w:t>
      </w:r>
      <w:r w:rsidRPr="00D525A4">
        <w:rPr>
          <w:rStyle w:val="CharDivText"/>
        </w:rPr>
        <w:t xml:space="preserve"> </w:t>
      </w:r>
    </w:p>
    <w:p w14:paraId="1FD2C1BA" w14:textId="583591DF" w:rsidR="00715914" w:rsidRPr="00D525A4" w:rsidRDefault="00EC097E" w:rsidP="00715914">
      <w:pPr>
        <w:pStyle w:val="ActHead5"/>
      </w:pPr>
      <w:bookmarkStart w:id="1" w:name="_Toc198224897"/>
      <w:r w:rsidRPr="00D525A4">
        <w:rPr>
          <w:rStyle w:val="CharSectno"/>
        </w:rPr>
        <w:t>1</w:t>
      </w:r>
      <w:r w:rsidR="00D525A4">
        <w:rPr>
          <w:rStyle w:val="CharSectno"/>
        </w:rPr>
        <w:noBreakHyphen/>
      </w:r>
      <w:r w:rsidRPr="00D525A4">
        <w:rPr>
          <w:rStyle w:val="CharSectno"/>
        </w:rPr>
        <w:t>1</w:t>
      </w:r>
      <w:r w:rsidR="00715914" w:rsidRPr="00D525A4">
        <w:t xml:space="preserve">  </w:t>
      </w:r>
      <w:r w:rsidR="00CE493D" w:rsidRPr="00D525A4">
        <w:t>Name</w:t>
      </w:r>
      <w:bookmarkEnd w:id="1"/>
    </w:p>
    <w:p w14:paraId="735EB2E4" w14:textId="37C23D36" w:rsidR="00715914" w:rsidRPr="00D525A4" w:rsidRDefault="00715914" w:rsidP="00715914">
      <w:pPr>
        <w:pStyle w:val="subsection"/>
      </w:pPr>
      <w:r w:rsidRPr="00D525A4">
        <w:tab/>
      </w:r>
      <w:r w:rsidRPr="00D525A4">
        <w:tab/>
      </w:r>
      <w:r w:rsidR="00116FBA" w:rsidRPr="00D525A4">
        <w:t>This instrument is</w:t>
      </w:r>
      <w:r w:rsidR="00CE493D" w:rsidRPr="00D525A4">
        <w:t xml:space="preserve"> the </w:t>
      </w:r>
      <w:r w:rsidR="00BC76AC" w:rsidRPr="00D525A4">
        <w:rPr>
          <w:i/>
        </w:rPr>
        <w:fldChar w:fldCharType="begin"/>
      </w:r>
      <w:r w:rsidR="00BC76AC" w:rsidRPr="00D525A4">
        <w:rPr>
          <w:i/>
        </w:rPr>
        <w:instrText xml:space="preserve"> STYLEREF  ShortT </w:instrText>
      </w:r>
      <w:r w:rsidR="00BC76AC" w:rsidRPr="00D525A4">
        <w:rPr>
          <w:i/>
        </w:rPr>
        <w:fldChar w:fldCharType="separate"/>
      </w:r>
      <w:r w:rsidR="00EE271C">
        <w:rPr>
          <w:i/>
          <w:noProof/>
        </w:rPr>
        <w:t>Anti-Money Laundering and Counter-Terrorism Financing Rules 2025</w:t>
      </w:r>
      <w:r w:rsidR="00BC76AC" w:rsidRPr="00D525A4">
        <w:rPr>
          <w:i/>
        </w:rPr>
        <w:fldChar w:fldCharType="end"/>
      </w:r>
      <w:r w:rsidR="008C4967" w:rsidRPr="00D525A4">
        <w:t>.</w:t>
      </w:r>
    </w:p>
    <w:p w14:paraId="1301C91F" w14:textId="746BB126" w:rsidR="00715914" w:rsidRPr="00D525A4" w:rsidRDefault="00EC097E" w:rsidP="00715914">
      <w:pPr>
        <w:pStyle w:val="ActHead5"/>
      </w:pPr>
      <w:bookmarkStart w:id="2" w:name="_Toc198224898"/>
      <w:r w:rsidRPr="00D525A4">
        <w:rPr>
          <w:rStyle w:val="CharSectno"/>
        </w:rPr>
        <w:t>1</w:t>
      </w:r>
      <w:r w:rsidR="00D525A4">
        <w:rPr>
          <w:rStyle w:val="CharSectno"/>
        </w:rPr>
        <w:noBreakHyphen/>
      </w:r>
      <w:r w:rsidRPr="00D525A4">
        <w:rPr>
          <w:rStyle w:val="CharSectno"/>
        </w:rPr>
        <w:t>2</w:t>
      </w:r>
      <w:r w:rsidR="00715914" w:rsidRPr="00D525A4">
        <w:t xml:space="preserve">  Commencement</w:t>
      </w:r>
      <w:bookmarkEnd w:id="2"/>
    </w:p>
    <w:p w14:paraId="468D5A24" w14:textId="77777777" w:rsidR="00AE3652" w:rsidRPr="00D525A4" w:rsidRDefault="00807626" w:rsidP="00AE3652">
      <w:pPr>
        <w:pStyle w:val="subsection"/>
      </w:pPr>
      <w:r w:rsidRPr="00D525A4">
        <w:tab/>
      </w:r>
      <w:r w:rsidR="00AE3652" w:rsidRPr="00D525A4">
        <w:t>(1)</w:t>
      </w:r>
      <w:r w:rsidR="00AE3652" w:rsidRPr="00D525A4">
        <w:tab/>
        <w:t xml:space="preserve">Each provision of </w:t>
      </w:r>
      <w:r w:rsidR="00116FBA" w:rsidRPr="00D525A4">
        <w:t>this instrument</w:t>
      </w:r>
      <w:r w:rsidR="00AE3652" w:rsidRPr="00D525A4">
        <w:t xml:space="preserve"> specified in column 1 of the table commences, or is taken to have commenced, in accordance with column 2 of the table. Any other statement in column 2 has effect according to its terms.</w:t>
      </w:r>
    </w:p>
    <w:p w14:paraId="37C7F38A" w14:textId="77777777" w:rsidR="00AE3652" w:rsidRPr="00D525A4"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D525A4" w14:paraId="28A3AE8F" w14:textId="77777777" w:rsidTr="008A04E4">
        <w:trPr>
          <w:tblHeader/>
        </w:trPr>
        <w:tc>
          <w:tcPr>
            <w:tcW w:w="8364" w:type="dxa"/>
            <w:gridSpan w:val="3"/>
            <w:tcBorders>
              <w:top w:val="single" w:sz="12" w:space="0" w:color="auto"/>
              <w:bottom w:val="single" w:sz="6" w:space="0" w:color="auto"/>
            </w:tcBorders>
            <w:shd w:val="clear" w:color="auto" w:fill="auto"/>
            <w:hideMark/>
          </w:tcPr>
          <w:p w14:paraId="0CD6D485" w14:textId="77777777" w:rsidR="00AE3652" w:rsidRPr="00D525A4" w:rsidRDefault="00AE3652" w:rsidP="008A04E4">
            <w:pPr>
              <w:pStyle w:val="TableHeading"/>
            </w:pPr>
            <w:r w:rsidRPr="00D525A4">
              <w:t>Commencement information</w:t>
            </w:r>
          </w:p>
        </w:tc>
      </w:tr>
      <w:tr w:rsidR="00AE3652" w:rsidRPr="00D525A4" w14:paraId="5405C49A" w14:textId="77777777" w:rsidTr="008A04E4">
        <w:trPr>
          <w:tblHeader/>
        </w:trPr>
        <w:tc>
          <w:tcPr>
            <w:tcW w:w="2127" w:type="dxa"/>
            <w:tcBorders>
              <w:top w:val="single" w:sz="6" w:space="0" w:color="auto"/>
              <w:bottom w:val="single" w:sz="6" w:space="0" w:color="auto"/>
            </w:tcBorders>
            <w:shd w:val="clear" w:color="auto" w:fill="auto"/>
            <w:hideMark/>
          </w:tcPr>
          <w:p w14:paraId="2A6C7F4A" w14:textId="77777777" w:rsidR="00AE3652" w:rsidRPr="00D525A4" w:rsidRDefault="00AE3652" w:rsidP="008A04E4">
            <w:pPr>
              <w:pStyle w:val="TableHeading"/>
            </w:pPr>
            <w:r w:rsidRPr="00D525A4">
              <w:t>Column 1</w:t>
            </w:r>
          </w:p>
        </w:tc>
        <w:tc>
          <w:tcPr>
            <w:tcW w:w="4394" w:type="dxa"/>
            <w:tcBorders>
              <w:top w:val="single" w:sz="6" w:space="0" w:color="auto"/>
              <w:bottom w:val="single" w:sz="6" w:space="0" w:color="auto"/>
            </w:tcBorders>
            <w:shd w:val="clear" w:color="auto" w:fill="auto"/>
            <w:hideMark/>
          </w:tcPr>
          <w:p w14:paraId="1F5BFD78" w14:textId="77777777" w:rsidR="00AE3652" w:rsidRPr="00D525A4" w:rsidRDefault="00AE3652" w:rsidP="008A04E4">
            <w:pPr>
              <w:pStyle w:val="TableHeading"/>
            </w:pPr>
            <w:r w:rsidRPr="00D525A4">
              <w:t>Column 2</w:t>
            </w:r>
          </w:p>
        </w:tc>
        <w:tc>
          <w:tcPr>
            <w:tcW w:w="1843" w:type="dxa"/>
            <w:tcBorders>
              <w:top w:val="single" w:sz="6" w:space="0" w:color="auto"/>
              <w:bottom w:val="single" w:sz="6" w:space="0" w:color="auto"/>
            </w:tcBorders>
            <w:shd w:val="clear" w:color="auto" w:fill="auto"/>
            <w:hideMark/>
          </w:tcPr>
          <w:p w14:paraId="2717B84A" w14:textId="77777777" w:rsidR="00AE3652" w:rsidRPr="00D525A4" w:rsidRDefault="00AE3652" w:rsidP="008A04E4">
            <w:pPr>
              <w:pStyle w:val="TableHeading"/>
            </w:pPr>
            <w:r w:rsidRPr="00D525A4">
              <w:t>Column 3</w:t>
            </w:r>
          </w:p>
        </w:tc>
      </w:tr>
      <w:tr w:rsidR="00AE3652" w:rsidRPr="00D525A4" w14:paraId="6BE7172D" w14:textId="77777777" w:rsidTr="008A04E4">
        <w:trPr>
          <w:tblHeader/>
        </w:trPr>
        <w:tc>
          <w:tcPr>
            <w:tcW w:w="2127" w:type="dxa"/>
            <w:tcBorders>
              <w:top w:val="single" w:sz="6" w:space="0" w:color="auto"/>
              <w:bottom w:val="single" w:sz="12" w:space="0" w:color="auto"/>
            </w:tcBorders>
            <w:shd w:val="clear" w:color="auto" w:fill="auto"/>
            <w:hideMark/>
          </w:tcPr>
          <w:p w14:paraId="7C5419FD" w14:textId="77777777" w:rsidR="00AE3652" w:rsidRPr="00D525A4" w:rsidRDefault="00AE3652" w:rsidP="008A04E4">
            <w:pPr>
              <w:pStyle w:val="TableHeading"/>
            </w:pPr>
            <w:r w:rsidRPr="00D525A4">
              <w:t>Provisions</w:t>
            </w:r>
          </w:p>
        </w:tc>
        <w:tc>
          <w:tcPr>
            <w:tcW w:w="4394" w:type="dxa"/>
            <w:tcBorders>
              <w:top w:val="single" w:sz="6" w:space="0" w:color="auto"/>
              <w:bottom w:val="single" w:sz="12" w:space="0" w:color="auto"/>
            </w:tcBorders>
            <w:shd w:val="clear" w:color="auto" w:fill="auto"/>
            <w:hideMark/>
          </w:tcPr>
          <w:p w14:paraId="4175FB24" w14:textId="77777777" w:rsidR="00AE3652" w:rsidRPr="00D525A4" w:rsidRDefault="00AE3652" w:rsidP="008A04E4">
            <w:pPr>
              <w:pStyle w:val="TableHeading"/>
            </w:pPr>
            <w:r w:rsidRPr="00D525A4">
              <w:t>Commencement</w:t>
            </w:r>
          </w:p>
        </w:tc>
        <w:tc>
          <w:tcPr>
            <w:tcW w:w="1843" w:type="dxa"/>
            <w:tcBorders>
              <w:top w:val="single" w:sz="6" w:space="0" w:color="auto"/>
              <w:bottom w:val="single" w:sz="12" w:space="0" w:color="auto"/>
            </w:tcBorders>
            <w:shd w:val="clear" w:color="auto" w:fill="auto"/>
            <w:hideMark/>
          </w:tcPr>
          <w:p w14:paraId="66307436" w14:textId="77777777" w:rsidR="00AE3652" w:rsidRPr="00D525A4" w:rsidRDefault="00AE3652" w:rsidP="008A04E4">
            <w:pPr>
              <w:pStyle w:val="TableHeading"/>
            </w:pPr>
            <w:r w:rsidRPr="00D525A4">
              <w:t>Date/Details</w:t>
            </w:r>
          </w:p>
        </w:tc>
      </w:tr>
      <w:tr w:rsidR="00AE3652" w:rsidRPr="00D525A4" w14:paraId="1978A999" w14:textId="77777777" w:rsidTr="008A04E4">
        <w:tc>
          <w:tcPr>
            <w:tcW w:w="2127" w:type="dxa"/>
            <w:tcBorders>
              <w:top w:val="single" w:sz="12" w:space="0" w:color="auto"/>
              <w:bottom w:val="single" w:sz="12" w:space="0" w:color="auto"/>
            </w:tcBorders>
            <w:shd w:val="clear" w:color="auto" w:fill="auto"/>
            <w:hideMark/>
          </w:tcPr>
          <w:p w14:paraId="1B711834" w14:textId="77777777" w:rsidR="00AE3652" w:rsidRPr="00D525A4" w:rsidRDefault="00AE3652" w:rsidP="008A04E4">
            <w:pPr>
              <w:pStyle w:val="Tabletext"/>
            </w:pPr>
            <w:r w:rsidRPr="00D525A4">
              <w:t xml:space="preserve">1.  The whole of </w:t>
            </w:r>
            <w:r w:rsidR="00116FBA" w:rsidRPr="00D525A4">
              <w:t>this instrument</w:t>
            </w:r>
          </w:p>
        </w:tc>
        <w:tc>
          <w:tcPr>
            <w:tcW w:w="4394" w:type="dxa"/>
            <w:tcBorders>
              <w:top w:val="single" w:sz="12" w:space="0" w:color="auto"/>
              <w:bottom w:val="single" w:sz="12" w:space="0" w:color="auto"/>
            </w:tcBorders>
            <w:shd w:val="clear" w:color="auto" w:fill="auto"/>
            <w:hideMark/>
          </w:tcPr>
          <w:p w14:paraId="5CBA4A4C" w14:textId="722F46DB" w:rsidR="00AE3652" w:rsidRPr="00D525A4" w:rsidRDefault="0010391B" w:rsidP="008A04E4">
            <w:pPr>
              <w:pStyle w:val="Tabletext"/>
            </w:pPr>
            <w:r w:rsidRPr="00D525A4">
              <w:t>31 March</w:t>
            </w:r>
            <w:r w:rsidR="006F6E00" w:rsidRPr="00D525A4">
              <w:t xml:space="preserve"> 2026</w:t>
            </w:r>
            <w:r w:rsidR="00AE3652" w:rsidRPr="00D525A4">
              <w:t>.</w:t>
            </w:r>
          </w:p>
        </w:tc>
        <w:tc>
          <w:tcPr>
            <w:tcW w:w="1843" w:type="dxa"/>
            <w:tcBorders>
              <w:top w:val="single" w:sz="12" w:space="0" w:color="auto"/>
              <w:bottom w:val="single" w:sz="12" w:space="0" w:color="auto"/>
            </w:tcBorders>
            <w:shd w:val="clear" w:color="auto" w:fill="auto"/>
          </w:tcPr>
          <w:p w14:paraId="71C1236B" w14:textId="0B681E37" w:rsidR="00AE3652" w:rsidRPr="00D525A4" w:rsidRDefault="0010391B" w:rsidP="008A04E4">
            <w:pPr>
              <w:pStyle w:val="Tabletext"/>
            </w:pPr>
            <w:r w:rsidRPr="00D525A4">
              <w:t>31 March</w:t>
            </w:r>
            <w:r w:rsidR="006F6E00" w:rsidRPr="00D525A4">
              <w:t xml:space="preserve"> 2026</w:t>
            </w:r>
          </w:p>
        </w:tc>
      </w:tr>
    </w:tbl>
    <w:p w14:paraId="450F1172" w14:textId="77777777" w:rsidR="00AE3652" w:rsidRPr="00D525A4" w:rsidRDefault="00AE3652" w:rsidP="00AE3652">
      <w:pPr>
        <w:pStyle w:val="notetext"/>
      </w:pPr>
      <w:r w:rsidRPr="00D525A4">
        <w:rPr>
          <w:snapToGrid w:val="0"/>
          <w:lang w:eastAsia="en-US"/>
        </w:rPr>
        <w:t>Note:</w:t>
      </w:r>
      <w:r w:rsidRPr="00D525A4">
        <w:rPr>
          <w:snapToGrid w:val="0"/>
          <w:lang w:eastAsia="en-US"/>
        </w:rPr>
        <w:tab/>
        <w:t xml:space="preserve">This table relates only to the provisions of </w:t>
      </w:r>
      <w:r w:rsidR="00116FBA" w:rsidRPr="00D525A4">
        <w:rPr>
          <w:snapToGrid w:val="0"/>
          <w:lang w:eastAsia="en-US"/>
        </w:rPr>
        <w:t>this instrument</w:t>
      </w:r>
      <w:r w:rsidRPr="00D525A4">
        <w:t xml:space="preserve"> </w:t>
      </w:r>
      <w:r w:rsidRPr="00D525A4">
        <w:rPr>
          <w:snapToGrid w:val="0"/>
          <w:lang w:eastAsia="en-US"/>
        </w:rPr>
        <w:t xml:space="preserve">as originally made. It will not be amended to deal with any later amendments of </w:t>
      </w:r>
      <w:r w:rsidR="00116FBA" w:rsidRPr="00D525A4">
        <w:rPr>
          <w:snapToGrid w:val="0"/>
          <w:lang w:eastAsia="en-US"/>
        </w:rPr>
        <w:t>this instrument</w:t>
      </w:r>
      <w:r w:rsidRPr="00D525A4">
        <w:rPr>
          <w:snapToGrid w:val="0"/>
          <w:lang w:eastAsia="en-US"/>
        </w:rPr>
        <w:t>.</w:t>
      </w:r>
    </w:p>
    <w:p w14:paraId="6E1D2B76" w14:textId="77777777" w:rsidR="00807626" w:rsidRPr="00D525A4" w:rsidRDefault="00AE3652" w:rsidP="00AE3652">
      <w:pPr>
        <w:pStyle w:val="subsection"/>
      </w:pPr>
      <w:r w:rsidRPr="00D525A4">
        <w:tab/>
        <w:t>(2)</w:t>
      </w:r>
      <w:r w:rsidRPr="00D525A4">
        <w:tab/>
        <w:t xml:space="preserve">Any information in column 3 of the table is not part of </w:t>
      </w:r>
      <w:r w:rsidR="00116FBA" w:rsidRPr="00D525A4">
        <w:t>this instrument</w:t>
      </w:r>
      <w:r w:rsidRPr="00D525A4">
        <w:t xml:space="preserve">. Information may be inserted in this column, or information in it may be edited, in any published version of </w:t>
      </w:r>
      <w:r w:rsidR="00116FBA" w:rsidRPr="00D525A4">
        <w:t>this instrument</w:t>
      </w:r>
      <w:r w:rsidRPr="00D525A4">
        <w:t>.</w:t>
      </w:r>
    </w:p>
    <w:p w14:paraId="2DEB09FA" w14:textId="01ECD0A0" w:rsidR="007500C8" w:rsidRPr="00D525A4" w:rsidRDefault="00EC097E" w:rsidP="007500C8">
      <w:pPr>
        <w:pStyle w:val="ActHead5"/>
      </w:pPr>
      <w:bookmarkStart w:id="3" w:name="_Toc198224899"/>
      <w:r w:rsidRPr="00D525A4">
        <w:rPr>
          <w:rStyle w:val="CharSectno"/>
        </w:rPr>
        <w:t>1</w:t>
      </w:r>
      <w:r w:rsidR="00D525A4">
        <w:rPr>
          <w:rStyle w:val="CharSectno"/>
        </w:rPr>
        <w:noBreakHyphen/>
      </w:r>
      <w:r w:rsidRPr="00D525A4">
        <w:rPr>
          <w:rStyle w:val="CharSectno"/>
        </w:rPr>
        <w:t>3</w:t>
      </w:r>
      <w:r w:rsidR="007500C8" w:rsidRPr="00D525A4">
        <w:t xml:space="preserve">  Authority</w:t>
      </w:r>
      <w:bookmarkEnd w:id="3"/>
    </w:p>
    <w:p w14:paraId="2CEA986F" w14:textId="0855555B" w:rsidR="00157B8B" w:rsidRPr="00D525A4" w:rsidRDefault="007500C8" w:rsidP="007E667A">
      <w:pPr>
        <w:pStyle w:val="subsection"/>
      </w:pPr>
      <w:r w:rsidRPr="00D525A4">
        <w:tab/>
      </w:r>
      <w:r w:rsidRPr="00D525A4">
        <w:tab/>
      </w:r>
      <w:r w:rsidR="00116FBA" w:rsidRPr="00D525A4">
        <w:t>This instrument is</w:t>
      </w:r>
      <w:r w:rsidRPr="00D525A4">
        <w:t xml:space="preserve"> made under </w:t>
      </w:r>
      <w:r w:rsidR="00DA1335" w:rsidRPr="00D525A4">
        <w:t xml:space="preserve">the </w:t>
      </w:r>
      <w:bookmarkStart w:id="4" w:name="_Hlk177981925"/>
      <w:r w:rsidR="00DA1335" w:rsidRPr="00D525A4">
        <w:rPr>
          <w:i/>
        </w:rPr>
        <w:t>Anti</w:t>
      </w:r>
      <w:r w:rsidR="00D525A4">
        <w:rPr>
          <w:i/>
        </w:rPr>
        <w:noBreakHyphen/>
      </w:r>
      <w:r w:rsidR="00DA1335" w:rsidRPr="00D525A4">
        <w:rPr>
          <w:i/>
        </w:rPr>
        <w:t>Money Laundering and Counter</w:t>
      </w:r>
      <w:r w:rsidR="00D525A4">
        <w:rPr>
          <w:i/>
        </w:rPr>
        <w:noBreakHyphen/>
      </w:r>
      <w:r w:rsidR="00DA1335" w:rsidRPr="00D525A4">
        <w:rPr>
          <w:i/>
        </w:rPr>
        <w:t>Terrorism Financing Act 2006</w:t>
      </w:r>
      <w:bookmarkEnd w:id="4"/>
      <w:r w:rsidR="00F4350D" w:rsidRPr="00D525A4">
        <w:t>.</w:t>
      </w:r>
    </w:p>
    <w:p w14:paraId="3C00C767" w14:textId="05282F73" w:rsidR="000B0C75" w:rsidRPr="00D525A4" w:rsidRDefault="00EC097E" w:rsidP="00BF71F1">
      <w:pPr>
        <w:pStyle w:val="ActHead5"/>
      </w:pPr>
      <w:bookmarkStart w:id="5" w:name="_Toc198224900"/>
      <w:r w:rsidRPr="00D525A4">
        <w:rPr>
          <w:rStyle w:val="CharSectno"/>
        </w:rPr>
        <w:t>1</w:t>
      </w:r>
      <w:r w:rsidR="00D525A4">
        <w:rPr>
          <w:rStyle w:val="CharSectno"/>
        </w:rPr>
        <w:noBreakHyphen/>
      </w:r>
      <w:r w:rsidRPr="00D525A4">
        <w:rPr>
          <w:rStyle w:val="CharSectno"/>
        </w:rPr>
        <w:t>4</w:t>
      </w:r>
      <w:r w:rsidR="000B0C75" w:rsidRPr="00D525A4">
        <w:t xml:space="preserve">  Definitions</w:t>
      </w:r>
      <w:bookmarkEnd w:id="5"/>
    </w:p>
    <w:p w14:paraId="04EE9D54" w14:textId="77777777" w:rsidR="000B0C75" w:rsidRPr="00D525A4" w:rsidRDefault="000B0C75" w:rsidP="008A04E4">
      <w:pPr>
        <w:pStyle w:val="notetext"/>
      </w:pPr>
      <w:r w:rsidRPr="00D525A4">
        <w:t>Note:</w:t>
      </w:r>
      <w:r w:rsidRPr="00D525A4">
        <w:tab/>
        <w:t>A number of expressions used in this instrument are defined in the Act, including the following:</w:t>
      </w:r>
    </w:p>
    <w:p w14:paraId="51164A00" w14:textId="77777777" w:rsidR="00FE0567" w:rsidRPr="00D525A4" w:rsidRDefault="008A04E4" w:rsidP="008A04E4">
      <w:pPr>
        <w:pStyle w:val="notepara"/>
      </w:pPr>
      <w:r w:rsidRPr="00D525A4">
        <w:t>(a)</w:t>
      </w:r>
      <w:r w:rsidRPr="00D525A4">
        <w:tab/>
      </w:r>
      <w:r w:rsidR="00FE0567" w:rsidRPr="00D525A4">
        <w:t>designated service;</w:t>
      </w:r>
    </w:p>
    <w:p w14:paraId="5F21BB76" w14:textId="77777777" w:rsidR="00FE0567" w:rsidRPr="00D525A4" w:rsidRDefault="007F6A9D" w:rsidP="008A04E4">
      <w:pPr>
        <w:pStyle w:val="notepara"/>
      </w:pPr>
      <w:r w:rsidRPr="00D525A4">
        <w:t>(b)</w:t>
      </w:r>
      <w:r w:rsidRPr="00D525A4">
        <w:tab/>
      </w:r>
      <w:r w:rsidR="00FE0567" w:rsidRPr="00D525A4">
        <w:t>financial institution</w:t>
      </w:r>
      <w:r w:rsidR="000444BC" w:rsidRPr="00D525A4">
        <w:t>;</w:t>
      </w:r>
    </w:p>
    <w:p w14:paraId="2C21996D" w14:textId="77777777" w:rsidR="00FE0567" w:rsidRPr="00D525A4" w:rsidRDefault="007F6A9D" w:rsidP="008A04E4">
      <w:pPr>
        <w:pStyle w:val="notepara"/>
      </w:pPr>
      <w:r w:rsidRPr="00D525A4">
        <w:t>(c)</w:t>
      </w:r>
      <w:r w:rsidRPr="00D525A4">
        <w:tab/>
      </w:r>
      <w:r w:rsidR="00FE0567" w:rsidRPr="00D525A4">
        <w:t>nested services relationship</w:t>
      </w:r>
      <w:r w:rsidR="000444BC" w:rsidRPr="00D525A4">
        <w:t>;</w:t>
      </w:r>
    </w:p>
    <w:p w14:paraId="2007B23B" w14:textId="77777777" w:rsidR="008642C5" w:rsidRPr="00D525A4" w:rsidRDefault="007F6A9D" w:rsidP="008A04E4">
      <w:pPr>
        <w:pStyle w:val="notepara"/>
      </w:pPr>
      <w:r w:rsidRPr="00D525A4">
        <w:t>(d)</w:t>
      </w:r>
      <w:r w:rsidRPr="00D525A4">
        <w:tab/>
      </w:r>
      <w:r w:rsidR="00DF4682" w:rsidRPr="00D525A4">
        <w:t>reporting entity;</w:t>
      </w:r>
    </w:p>
    <w:p w14:paraId="624D4DC9" w14:textId="5220C6DC" w:rsidR="00FE0567" w:rsidRPr="00D525A4" w:rsidRDefault="00394379" w:rsidP="008A04E4">
      <w:pPr>
        <w:pStyle w:val="notepara"/>
      </w:pPr>
      <w:r w:rsidRPr="00D525A4">
        <w:t>(</w:t>
      </w:r>
      <w:r w:rsidR="00B77985" w:rsidRPr="00D525A4">
        <w:t>e</w:t>
      </w:r>
      <w:r w:rsidRPr="00D525A4">
        <w:t>)</w:t>
      </w:r>
      <w:r w:rsidRPr="00D525A4">
        <w:tab/>
      </w:r>
      <w:r w:rsidR="00DF4682" w:rsidRPr="00D525A4">
        <w:t>transfer of value</w:t>
      </w:r>
      <w:r w:rsidR="007F6A9D" w:rsidRPr="00D525A4">
        <w:t>.</w:t>
      </w:r>
    </w:p>
    <w:p w14:paraId="4AADF561" w14:textId="77777777" w:rsidR="000B0C75" w:rsidRPr="00D525A4" w:rsidRDefault="000B0C75" w:rsidP="000B0C75">
      <w:pPr>
        <w:pStyle w:val="subsection"/>
      </w:pPr>
      <w:r w:rsidRPr="00D525A4">
        <w:tab/>
      </w:r>
      <w:r w:rsidRPr="00D525A4">
        <w:tab/>
        <w:t>In this instrument:</w:t>
      </w:r>
    </w:p>
    <w:p w14:paraId="0EAB7085" w14:textId="1DEBE23C" w:rsidR="00E67951" w:rsidRPr="00D525A4" w:rsidRDefault="00E67951" w:rsidP="008A04E4">
      <w:pPr>
        <w:pStyle w:val="Definition"/>
      </w:pPr>
      <w:r w:rsidRPr="00D525A4">
        <w:rPr>
          <w:b/>
          <w:i/>
        </w:rPr>
        <w:t>ABN</w:t>
      </w:r>
      <w:r w:rsidRPr="00D525A4">
        <w:t xml:space="preserve"> has the meaning given by </w:t>
      </w:r>
      <w:r w:rsidR="005C5E95" w:rsidRPr="00D525A4">
        <w:t>section 4</w:t>
      </w:r>
      <w:r w:rsidRPr="00D525A4">
        <w:t xml:space="preserve">1 of the </w:t>
      </w:r>
      <w:r w:rsidRPr="00D525A4">
        <w:rPr>
          <w:i/>
        </w:rPr>
        <w:t>A New Tax System (Australian Business Number) Act 1999</w:t>
      </w:r>
      <w:r w:rsidRPr="00D525A4">
        <w:t>.</w:t>
      </w:r>
    </w:p>
    <w:p w14:paraId="62084F78" w14:textId="77777777" w:rsidR="00E67951" w:rsidRPr="00D525A4" w:rsidRDefault="00E67951" w:rsidP="008A04E4">
      <w:pPr>
        <w:pStyle w:val="Definition"/>
      </w:pPr>
      <w:r w:rsidRPr="00D525A4">
        <w:rPr>
          <w:b/>
          <w:i/>
        </w:rPr>
        <w:t>ACN</w:t>
      </w:r>
      <w:r w:rsidRPr="00D525A4">
        <w:t xml:space="preserve"> has the meaning given by </w:t>
      </w:r>
      <w:r w:rsidR="00F1490F" w:rsidRPr="00D525A4">
        <w:t>section 9</w:t>
      </w:r>
      <w:r w:rsidRPr="00D525A4">
        <w:t xml:space="preserve"> of the </w:t>
      </w:r>
      <w:r w:rsidRPr="00D525A4">
        <w:rPr>
          <w:i/>
        </w:rPr>
        <w:t>Corporations Act 2001</w:t>
      </w:r>
      <w:r w:rsidRPr="00D525A4">
        <w:t>.</w:t>
      </w:r>
    </w:p>
    <w:p w14:paraId="73DD8E6D" w14:textId="7970B6F9" w:rsidR="006C14B7" w:rsidRPr="00D525A4" w:rsidRDefault="006C14B7" w:rsidP="006C14B7">
      <w:pPr>
        <w:pStyle w:val="Definition"/>
      </w:pPr>
      <w:r w:rsidRPr="00D525A4">
        <w:rPr>
          <w:b/>
          <w:i/>
        </w:rPr>
        <w:t>Act</w:t>
      </w:r>
      <w:r w:rsidRPr="00D525A4">
        <w:t xml:space="preserve"> means the </w:t>
      </w:r>
      <w:r w:rsidRPr="00D525A4">
        <w:rPr>
          <w:i/>
        </w:rPr>
        <w:t>Anti</w:t>
      </w:r>
      <w:r w:rsidR="00D525A4">
        <w:rPr>
          <w:i/>
        </w:rPr>
        <w:noBreakHyphen/>
      </w:r>
      <w:r w:rsidRPr="00D525A4">
        <w:rPr>
          <w:i/>
        </w:rPr>
        <w:t>Money Laundering and Counter</w:t>
      </w:r>
      <w:r w:rsidR="00D525A4">
        <w:rPr>
          <w:i/>
        </w:rPr>
        <w:noBreakHyphen/>
      </w:r>
      <w:r w:rsidRPr="00D525A4">
        <w:rPr>
          <w:i/>
        </w:rPr>
        <w:t>Terrorism Financing Act 2006</w:t>
      </w:r>
      <w:r w:rsidRPr="00D525A4">
        <w:t>.</w:t>
      </w:r>
    </w:p>
    <w:p w14:paraId="15ADD1A7" w14:textId="77777777" w:rsidR="008B0EF5" w:rsidRPr="00D525A4" w:rsidRDefault="008B0EF5" w:rsidP="008B0EF5">
      <w:pPr>
        <w:pStyle w:val="Definition"/>
      </w:pPr>
      <w:r w:rsidRPr="00D525A4">
        <w:rPr>
          <w:b/>
          <w:i/>
        </w:rPr>
        <w:lastRenderedPageBreak/>
        <w:t>ARBN</w:t>
      </w:r>
      <w:r w:rsidRPr="00D525A4">
        <w:t xml:space="preserve"> has the meaning given by </w:t>
      </w:r>
      <w:r w:rsidR="00F1490F" w:rsidRPr="00D525A4">
        <w:t>section 9</w:t>
      </w:r>
      <w:r w:rsidRPr="00D525A4">
        <w:t xml:space="preserve"> of the </w:t>
      </w:r>
      <w:r w:rsidRPr="00D525A4">
        <w:rPr>
          <w:i/>
        </w:rPr>
        <w:t>Corporations Act 2001</w:t>
      </w:r>
      <w:r w:rsidRPr="00D525A4">
        <w:t>.</w:t>
      </w:r>
    </w:p>
    <w:p w14:paraId="1A2ADA2B" w14:textId="77777777" w:rsidR="004471E0" w:rsidRPr="00D525A4" w:rsidRDefault="004471E0" w:rsidP="004471E0">
      <w:pPr>
        <w:pStyle w:val="Definition"/>
      </w:pPr>
      <w:r w:rsidRPr="00D525A4">
        <w:rPr>
          <w:b/>
          <w:bCs/>
          <w:i/>
          <w:iCs/>
        </w:rPr>
        <w:t>ARSN</w:t>
      </w:r>
      <w:r w:rsidRPr="00D525A4">
        <w:rPr>
          <w:i/>
          <w:iCs/>
        </w:rPr>
        <w:t xml:space="preserve"> </w:t>
      </w:r>
      <w:r w:rsidRPr="00D525A4">
        <w:t xml:space="preserve">has the meaning given by section 9 of the </w:t>
      </w:r>
      <w:r w:rsidRPr="00D525A4">
        <w:rPr>
          <w:i/>
          <w:iCs/>
        </w:rPr>
        <w:t>Corporations Act 2001</w:t>
      </w:r>
      <w:r w:rsidRPr="00D525A4">
        <w:t>.</w:t>
      </w:r>
    </w:p>
    <w:p w14:paraId="7F914BE1" w14:textId="300D2668" w:rsidR="00A01A6B" w:rsidRPr="00D525A4" w:rsidRDefault="008F269E" w:rsidP="00CF763D">
      <w:pPr>
        <w:pStyle w:val="Definition"/>
        <w:rPr>
          <w:bCs/>
          <w:iCs/>
        </w:rPr>
      </w:pPr>
      <w:r w:rsidRPr="00D525A4">
        <w:rPr>
          <w:b/>
          <w:i/>
        </w:rPr>
        <w:t>Attorney</w:t>
      </w:r>
      <w:r w:rsidR="00D525A4">
        <w:rPr>
          <w:b/>
          <w:i/>
        </w:rPr>
        <w:noBreakHyphen/>
      </w:r>
      <w:r w:rsidRPr="00D525A4">
        <w:rPr>
          <w:b/>
          <w:i/>
        </w:rPr>
        <w:t>General’s Department</w:t>
      </w:r>
      <w:r w:rsidRPr="00D525A4">
        <w:rPr>
          <w:bCs/>
          <w:iCs/>
        </w:rPr>
        <w:t xml:space="preserve"> means the Department administered by the Attorney</w:t>
      </w:r>
      <w:r w:rsidR="00D525A4">
        <w:rPr>
          <w:bCs/>
          <w:iCs/>
        </w:rPr>
        <w:noBreakHyphen/>
      </w:r>
      <w:r w:rsidRPr="00D525A4">
        <w:rPr>
          <w:bCs/>
          <w:iCs/>
        </w:rPr>
        <w:t>General.</w:t>
      </w:r>
    </w:p>
    <w:p w14:paraId="384F26BC" w14:textId="3F5D7654" w:rsidR="00CF763D" w:rsidRPr="00D525A4" w:rsidRDefault="00CF763D" w:rsidP="00CF763D">
      <w:pPr>
        <w:pStyle w:val="Definition"/>
      </w:pPr>
      <w:r w:rsidRPr="00D525A4">
        <w:rPr>
          <w:b/>
          <w:i/>
        </w:rPr>
        <w:t>BECS</w:t>
      </w:r>
      <w:r w:rsidRPr="00D525A4">
        <w:t xml:space="preserve"> means the Bulk Electronic Clearing System administered by the Australian Payments Network.</w:t>
      </w:r>
    </w:p>
    <w:p w14:paraId="551A13E5" w14:textId="27D95233" w:rsidR="00E62693" w:rsidRPr="00D525A4" w:rsidRDefault="00E62693" w:rsidP="008B0EF5">
      <w:pPr>
        <w:pStyle w:val="Definition"/>
      </w:pPr>
      <w:r w:rsidRPr="00D525A4">
        <w:rPr>
          <w:b/>
          <w:bCs/>
          <w:i/>
          <w:iCs/>
        </w:rPr>
        <w:t>BPAY</w:t>
      </w:r>
      <w:r w:rsidR="0021674F" w:rsidRPr="00D525A4">
        <w:t xml:space="preserve"> means</w:t>
      </w:r>
      <w:r w:rsidR="00FD5B65" w:rsidRPr="00D525A4">
        <w:t xml:space="preserve"> the </w:t>
      </w:r>
      <w:r w:rsidR="00C667F5" w:rsidRPr="00D525A4">
        <w:t xml:space="preserve">electronic </w:t>
      </w:r>
      <w:r w:rsidR="00FD5B65" w:rsidRPr="00D525A4">
        <w:t xml:space="preserve">bill payment system known </w:t>
      </w:r>
      <w:r w:rsidR="00FF4CA8" w:rsidRPr="00D525A4">
        <w:t>as BPAY</w:t>
      </w:r>
      <w:r w:rsidR="00FD5B65" w:rsidRPr="00D525A4">
        <w:t>.</w:t>
      </w:r>
    </w:p>
    <w:p w14:paraId="5B736DBB" w14:textId="3BCFA7B5" w:rsidR="0089230C" w:rsidRPr="00D525A4" w:rsidRDefault="0089230C" w:rsidP="0089230C">
      <w:pPr>
        <w:pStyle w:val="Definition"/>
      </w:pPr>
      <w:r w:rsidRPr="00D525A4">
        <w:rPr>
          <w:b/>
          <w:i/>
        </w:rPr>
        <w:t>card</w:t>
      </w:r>
      <w:r w:rsidR="00D525A4">
        <w:rPr>
          <w:b/>
          <w:i/>
        </w:rPr>
        <w:noBreakHyphen/>
      </w:r>
      <w:r w:rsidRPr="00D525A4">
        <w:rPr>
          <w:b/>
          <w:i/>
        </w:rPr>
        <w:t>based pull payment</w:t>
      </w:r>
      <w:r w:rsidRPr="00D525A4">
        <w:t xml:space="preserve">: a transfer of value is a </w:t>
      </w:r>
      <w:r w:rsidRPr="00D525A4">
        <w:rPr>
          <w:b/>
          <w:i/>
        </w:rPr>
        <w:t>card</w:t>
      </w:r>
      <w:r w:rsidR="00D525A4">
        <w:rPr>
          <w:b/>
          <w:i/>
        </w:rPr>
        <w:noBreakHyphen/>
      </w:r>
      <w:r w:rsidRPr="00D525A4">
        <w:rPr>
          <w:b/>
          <w:i/>
        </w:rPr>
        <w:t>based pull payment</w:t>
      </w:r>
      <w:r w:rsidRPr="00D525A4">
        <w:t xml:space="preserve"> if:</w:t>
      </w:r>
    </w:p>
    <w:p w14:paraId="76457B9E" w14:textId="77777777" w:rsidR="0089230C" w:rsidRPr="00D525A4" w:rsidRDefault="0089230C" w:rsidP="0089230C">
      <w:pPr>
        <w:pStyle w:val="paragraph"/>
      </w:pPr>
      <w:r w:rsidRPr="00D525A4">
        <w:tab/>
        <w:t>(a)</w:t>
      </w:r>
      <w:r w:rsidRPr="00D525A4">
        <w:tab/>
        <w:t>the value transferred is money; and</w:t>
      </w:r>
    </w:p>
    <w:p w14:paraId="62A450AF" w14:textId="77777777" w:rsidR="0089230C" w:rsidRPr="00D525A4" w:rsidRDefault="0089230C" w:rsidP="0089230C">
      <w:pPr>
        <w:pStyle w:val="paragraph"/>
      </w:pPr>
      <w:r w:rsidRPr="00D525A4">
        <w:tab/>
        <w:t>(b)</w:t>
      </w:r>
      <w:r w:rsidRPr="00D525A4">
        <w:tab/>
        <w:t>the transfer arises from the use of any of the following:</w:t>
      </w:r>
    </w:p>
    <w:p w14:paraId="54B8462E" w14:textId="77777777" w:rsidR="0089230C" w:rsidRPr="00D525A4" w:rsidRDefault="0089230C" w:rsidP="0089230C">
      <w:pPr>
        <w:pStyle w:val="paragraphsub"/>
      </w:pPr>
      <w:r w:rsidRPr="00D525A4">
        <w:tab/>
        <w:t>(i)</w:t>
      </w:r>
      <w:r w:rsidRPr="00D525A4">
        <w:tab/>
        <w:t>a credit card;</w:t>
      </w:r>
    </w:p>
    <w:p w14:paraId="3C692F2C" w14:textId="77777777" w:rsidR="0089230C" w:rsidRPr="00D525A4" w:rsidRDefault="0089230C" w:rsidP="0089230C">
      <w:pPr>
        <w:pStyle w:val="paragraphsub"/>
      </w:pPr>
      <w:r w:rsidRPr="00D525A4">
        <w:tab/>
        <w:t>(ii)</w:t>
      </w:r>
      <w:r w:rsidRPr="00D525A4">
        <w:tab/>
        <w:t>a debit card;</w:t>
      </w:r>
    </w:p>
    <w:p w14:paraId="2A438A5F" w14:textId="77777777" w:rsidR="0089230C" w:rsidRPr="00D525A4" w:rsidRDefault="0089230C" w:rsidP="0089230C">
      <w:pPr>
        <w:pStyle w:val="paragraphsub"/>
      </w:pPr>
      <w:r w:rsidRPr="00D525A4">
        <w:tab/>
        <w:t>(iii)</w:t>
      </w:r>
      <w:r w:rsidRPr="00D525A4">
        <w:tab/>
        <w:t>a stored value card; and</w:t>
      </w:r>
    </w:p>
    <w:p w14:paraId="7C201AC0" w14:textId="77777777" w:rsidR="0089230C" w:rsidRPr="00D525A4" w:rsidRDefault="0089230C" w:rsidP="0089230C">
      <w:pPr>
        <w:pStyle w:val="paragraph"/>
      </w:pPr>
      <w:r w:rsidRPr="00D525A4">
        <w:tab/>
        <w:t>(c)</w:t>
      </w:r>
      <w:r w:rsidRPr="00D525A4">
        <w:tab/>
        <w:t>the ordering institution issued that card; and</w:t>
      </w:r>
    </w:p>
    <w:p w14:paraId="76AF3973" w14:textId="77777777" w:rsidR="00DF1DC1" w:rsidRPr="00D525A4" w:rsidRDefault="0089230C" w:rsidP="0089230C">
      <w:pPr>
        <w:pStyle w:val="paragraph"/>
      </w:pPr>
      <w:r w:rsidRPr="00D525A4">
        <w:tab/>
        <w:t>(</w:t>
      </w:r>
      <w:r w:rsidR="00AA3F24" w:rsidRPr="00D525A4">
        <w:t>d</w:t>
      </w:r>
      <w:r w:rsidRPr="00D525A4">
        <w:t>)</w:t>
      </w:r>
      <w:r w:rsidRPr="00D525A4">
        <w:tab/>
      </w:r>
      <w:r w:rsidR="00DF1DC1" w:rsidRPr="00D525A4">
        <w:t>the beneficiary institution initiates the transfer by sending the payer’s instruction for the transfer to the ordering institution; and</w:t>
      </w:r>
    </w:p>
    <w:p w14:paraId="3B3BDACD" w14:textId="77777777" w:rsidR="00AA3F24" w:rsidRPr="00D525A4" w:rsidRDefault="00DF1DC1" w:rsidP="0089230C">
      <w:pPr>
        <w:pStyle w:val="paragraph"/>
      </w:pPr>
      <w:r w:rsidRPr="00D525A4">
        <w:tab/>
        <w:t>(e)</w:t>
      </w:r>
      <w:r w:rsidRPr="00D525A4">
        <w:tab/>
      </w:r>
      <w:r w:rsidR="0089230C" w:rsidRPr="00D525A4">
        <w:t>the beneficiary institution pays, or accepts liability to pay, the payee the money; and</w:t>
      </w:r>
    </w:p>
    <w:p w14:paraId="0245C537" w14:textId="77777777" w:rsidR="0089230C" w:rsidRPr="00D525A4" w:rsidRDefault="0089230C" w:rsidP="0089230C">
      <w:pPr>
        <w:pStyle w:val="paragraph"/>
      </w:pPr>
      <w:r w:rsidRPr="00D525A4">
        <w:tab/>
        <w:t>(</w:t>
      </w:r>
      <w:r w:rsidR="001979FD" w:rsidRPr="00D525A4">
        <w:t>f</w:t>
      </w:r>
      <w:r w:rsidRPr="00D525A4">
        <w:t>)</w:t>
      </w:r>
      <w:r w:rsidRPr="00D525A4">
        <w:tab/>
        <w:t>in giving effect to the transfer, the money is transferred from the ordering institution to the beneficiary institution.</w:t>
      </w:r>
    </w:p>
    <w:p w14:paraId="096B7C19" w14:textId="05D3B01F" w:rsidR="004471E0" w:rsidRPr="00D525A4" w:rsidRDefault="004471E0" w:rsidP="004471E0">
      <w:pPr>
        <w:pStyle w:val="Definition"/>
      </w:pPr>
      <w:r w:rsidRPr="00D525A4">
        <w:rPr>
          <w:b/>
          <w:bCs/>
          <w:i/>
          <w:iCs/>
        </w:rPr>
        <w:t>co</w:t>
      </w:r>
      <w:r w:rsidR="00D525A4">
        <w:rPr>
          <w:b/>
          <w:bCs/>
          <w:i/>
          <w:iCs/>
        </w:rPr>
        <w:noBreakHyphen/>
      </w:r>
      <w:r w:rsidRPr="00D525A4">
        <w:rPr>
          <w:b/>
          <w:bCs/>
          <w:i/>
          <w:iCs/>
        </w:rPr>
        <w:t>operative</w:t>
      </w:r>
      <w:r w:rsidRPr="00D525A4">
        <w:t xml:space="preserve"> means a body that, under a law of the Commonwealth, a State, a Territory or a foreign country, is registered as a co</w:t>
      </w:r>
      <w:r w:rsidR="00D525A4">
        <w:noBreakHyphen/>
      </w:r>
      <w:r w:rsidRPr="00D525A4">
        <w:t>operative.</w:t>
      </w:r>
    </w:p>
    <w:p w14:paraId="49AB812F" w14:textId="77777777" w:rsidR="00692DB7" w:rsidRPr="00D525A4" w:rsidRDefault="00692DB7" w:rsidP="00692DB7">
      <w:pPr>
        <w:pStyle w:val="Definition"/>
      </w:pPr>
      <w:r w:rsidRPr="00D525A4">
        <w:rPr>
          <w:b/>
          <w:i/>
        </w:rPr>
        <w:t xml:space="preserve">Defence Department </w:t>
      </w:r>
      <w:r w:rsidRPr="00D525A4">
        <w:t xml:space="preserve">means the Department administered by the Minister responsible for administering the </w:t>
      </w:r>
      <w:r w:rsidRPr="00D525A4">
        <w:rPr>
          <w:i/>
        </w:rPr>
        <w:t>Defence Act 1903</w:t>
      </w:r>
      <w:r w:rsidRPr="00D525A4">
        <w:t>.</w:t>
      </w:r>
    </w:p>
    <w:p w14:paraId="59949BF6" w14:textId="478C833E" w:rsidR="00FF4CA8" w:rsidRPr="00D525A4" w:rsidRDefault="00FF4CA8" w:rsidP="0089230C">
      <w:pPr>
        <w:pStyle w:val="Definition"/>
        <w:rPr>
          <w:bCs/>
          <w:iCs/>
        </w:rPr>
      </w:pPr>
      <w:r w:rsidRPr="00D525A4">
        <w:rPr>
          <w:b/>
          <w:i/>
        </w:rPr>
        <w:t>DEFT</w:t>
      </w:r>
      <w:r w:rsidRPr="00D525A4">
        <w:rPr>
          <w:bCs/>
          <w:iCs/>
        </w:rPr>
        <w:t xml:space="preserve"> (short for Direct Electronic Funds Transfer) means the electronic bill payment system known as DEFT.</w:t>
      </w:r>
    </w:p>
    <w:p w14:paraId="5387B660" w14:textId="2677B62D" w:rsidR="0089230C" w:rsidRPr="00D525A4" w:rsidRDefault="0089230C" w:rsidP="0089230C">
      <w:pPr>
        <w:pStyle w:val="Definition"/>
      </w:pPr>
      <w:r w:rsidRPr="00D525A4">
        <w:rPr>
          <w:b/>
          <w:i/>
        </w:rPr>
        <w:t>domestic transfer of value</w:t>
      </w:r>
      <w:r w:rsidRPr="00D525A4">
        <w:t xml:space="preserve">: a transfer of value is a </w:t>
      </w:r>
      <w:r w:rsidRPr="00D525A4">
        <w:rPr>
          <w:b/>
          <w:i/>
        </w:rPr>
        <w:t xml:space="preserve">domestic transfer of value </w:t>
      </w:r>
      <w:r w:rsidRPr="00D525A4">
        <w:t>if the value to be transferred is in Australia and, as a result of the transfer, the value will be in Australia.</w:t>
      </w:r>
    </w:p>
    <w:p w14:paraId="186C6A9A" w14:textId="2A48FCD2" w:rsidR="0089230C" w:rsidRPr="00D525A4" w:rsidRDefault="0089230C" w:rsidP="0089230C">
      <w:pPr>
        <w:pStyle w:val="notetext"/>
      </w:pPr>
      <w:r w:rsidRPr="00D525A4">
        <w:t>Note:</w:t>
      </w:r>
      <w:r w:rsidRPr="00D525A4">
        <w:tab/>
        <w:t xml:space="preserve">See section </w:t>
      </w:r>
      <w:r w:rsidR="00EC097E" w:rsidRPr="00D525A4">
        <w:t>7</w:t>
      </w:r>
      <w:r w:rsidR="00D525A4">
        <w:noBreakHyphen/>
      </w:r>
      <w:r w:rsidR="00EC097E" w:rsidRPr="00D525A4">
        <w:t>7</w:t>
      </w:r>
      <w:r w:rsidRPr="00D525A4">
        <w:t xml:space="preserve"> for the circumstances in which the value is </w:t>
      </w:r>
      <w:r w:rsidRPr="00D525A4">
        <w:rPr>
          <w:b/>
          <w:i/>
        </w:rPr>
        <w:t xml:space="preserve">in </w:t>
      </w:r>
      <w:r w:rsidRPr="00D525A4">
        <w:t>a country.</w:t>
      </w:r>
    </w:p>
    <w:p w14:paraId="124254BD" w14:textId="77777777" w:rsidR="007A31C7" w:rsidRPr="00D525A4" w:rsidRDefault="00601260" w:rsidP="00601260">
      <w:pPr>
        <w:pStyle w:val="Definition"/>
      </w:pPr>
      <w:r w:rsidRPr="00D525A4">
        <w:rPr>
          <w:b/>
          <w:i/>
        </w:rPr>
        <w:t xml:space="preserve">Foreign Affairs </w:t>
      </w:r>
      <w:r w:rsidR="00F11FE9" w:rsidRPr="00D525A4">
        <w:rPr>
          <w:b/>
          <w:i/>
        </w:rPr>
        <w:t>Depart</w:t>
      </w:r>
      <w:r w:rsidR="00C334B1" w:rsidRPr="00D525A4">
        <w:rPr>
          <w:b/>
          <w:i/>
        </w:rPr>
        <w:t>ment</w:t>
      </w:r>
      <w:r w:rsidRPr="00D525A4">
        <w:t xml:space="preserve"> means</w:t>
      </w:r>
      <w:r w:rsidR="007A31C7" w:rsidRPr="00D525A4">
        <w:t xml:space="preserve"> the Department administered </w:t>
      </w:r>
      <w:r w:rsidR="00B6032A" w:rsidRPr="00D525A4">
        <w:t xml:space="preserve">by the Minister responsible for administering the </w:t>
      </w:r>
      <w:r w:rsidR="00A75ED3" w:rsidRPr="00D525A4">
        <w:rPr>
          <w:i/>
        </w:rPr>
        <w:t>Diplomatic Privileges and Immunities Act 1967</w:t>
      </w:r>
      <w:r w:rsidR="007A31C7" w:rsidRPr="00D525A4">
        <w:t>.</w:t>
      </w:r>
    </w:p>
    <w:p w14:paraId="54DC8700" w14:textId="77777777" w:rsidR="004471E0" w:rsidRPr="00D525A4" w:rsidRDefault="004471E0" w:rsidP="004471E0">
      <w:pPr>
        <w:pStyle w:val="Definition"/>
      </w:pPr>
      <w:r w:rsidRPr="00D525A4">
        <w:rPr>
          <w:b/>
          <w:bCs/>
          <w:i/>
          <w:iCs/>
        </w:rPr>
        <w:t>foreign company</w:t>
      </w:r>
      <w:r w:rsidRPr="00D525A4">
        <w:t xml:space="preserve"> has the same meaning as in the </w:t>
      </w:r>
      <w:r w:rsidRPr="00D525A4">
        <w:rPr>
          <w:i/>
          <w:iCs/>
        </w:rPr>
        <w:t>Corporations Act 2001</w:t>
      </w:r>
      <w:r w:rsidRPr="00D525A4">
        <w:t>.</w:t>
      </w:r>
    </w:p>
    <w:p w14:paraId="15B99262" w14:textId="77777777" w:rsidR="00CD7E3C" w:rsidRPr="00D525A4" w:rsidRDefault="00601260" w:rsidP="00C12E6E">
      <w:pPr>
        <w:pStyle w:val="Definition"/>
        <w:rPr>
          <w:rFonts w:eastAsiaTheme="minorEastAsia"/>
        </w:rPr>
      </w:pPr>
      <w:r w:rsidRPr="00D525A4">
        <w:rPr>
          <w:rFonts w:eastAsiaTheme="minorEastAsia"/>
          <w:b/>
          <w:i/>
        </w:rPr>
        <w:t>Home Affairs</w:t>
      </w:r>
      <w:r w:rsidR="00C334B1" w:rsidRPr="00D525A4">
        <w:rPr>
          <w:rFonts w:eastAsiaTheme="minorEastAsia"/>
          <w:b/>
          <w:i/>
        </w:rPr>
        <w:t xml:space="preserve"> Department</w:t>
      </w:r>
      <w:r w:rsidRPr="00D525A4">
        <w:rPr>
          <w:rFonts w:eastAsiaTheme="minorEastAsia"/>
        </w:rPr>
        <w:t xml:space="preserve"> means </w:t>
      </w:r>
      <w:r w:rsidR="00B6032A" w:rsidRPr="00D525A4">
        <w:rPr>
          <w:rFonts w:eastAsiaTheme="minorEastAsia"/>
        </w:rPr>
        <w:t xml:space="preserve">the Department administered by the Minister responsible for administering the </w:t>
      </w:r>
      <w:r w:rsidR="00B6032A" w:rsidRPr="00D525A4">
        <w:rPr>
          <w:rFonts w:eastAsiaTheme="minorEastAsia"/>
          <w:i/>
        </w:rPr>
        <w:t>Australian Border Force Act 2015</w:t>
      </w:r>
      <w:r w:rsidR="00B6032A" w:rsidRPr="00D525A4">
        <w:rPr>
          <w:rFonts w:eastAsiaTheme="minorEastAsia"/>
        </w:rPr>
        <w:t>.</w:t>
      </w:r>
    </w:p>
    <w:p w14:paraId="0B31642A" w14:textId="4D17BE5C" w:rsidR="00B11DA4" w:rsidRPr="00D525A4" w:rsidRDefault="00B11DA4" w:rsidP="00B11DA4">
      <w:pPr>
        <w:pStyle w:val="Definition"/>
      </w:pPr>
      <w:r w:rsidRPr="00D525A4">
        <w:rPr>
          <w:b/>
          <w:i/>
        </w:rPr>
        <w:t xml:space="preserve">independent evaluation report </w:t>
      </w:r>
      <w:r w:rsidRPr="00D525A4">
        <w:t xml:space="preserve">has the meaning given by paragraph </w:t>
      </w:r>
      <w:r w:rsidR="00EC097E" w:rsidRPr="00D525A4">
        <w:t>4</w:t>
      </w:r>
      <w:r w:rsidR="00D525A4">
        <w:noBreakHyphen/>
      </w:r>
      <w:r w:rsidR="00EC097E" w:rsidRPr="00D525A4">
        <w:t>7</w:t>
      </w:r>
      <w:r w:rsidRPr="00D525A4">
        <w:t>(2)(</w:t>
      </w:r>
      <w:r w:rsidR="00AD212C" w:rsidRPr="00D525A4">
        <w:t>e</w:t>
      </w:r>
      <w:r w:rsidRPr="00D525A4">
        <w:t>).</w:t>
      </w:r>
    </w:p>
    <w:p w14:paraId="7EE7A2CF" w14:textId="1D66C015" w:rsidR="006139EC" w:rsidRPr="00D525A4" w:rsidRDefault="006139EC" w:rsidP="006139EC">
      <w:pPr>
        <w:pStyle w:val="Definition"/>
      </w:pPr>
      <w:r w:rsidRPr="00D525A4">
        <w:rPr>
          <w:b/>
          <w:bCs/>
          <w:i/>
          <w:iCs/>
        </w:rPr>
        <w:t xml:space="preserve">key personnel </w:t>
      </w:r>
      <w:r w:rsidRPr="00D525A4">
        <w:t xml:space="preserve">of a person means </w:t>
      </w:r>
      <w:r w:rsidR="000870A6" w:rsidRPr="00D525A4">
        <w:t>each</w:t>
      </w:r>
      <w:r w:rsidRPr="00D525A4">
        <w:t xml:space="preserve"> individual who is any of the following:</w:t>
      </w:r>
    </w:p>
    <w:p w14:paraId="175DCFBF" w14:textId="77777777" w:rsidR="006139EC" w:rsidRPr="00D525A4" w:rsidRDefault="006139EC" w:rsidP="006139EC">
      <w:pPr>
        <w:pStyle w:val="paragraph"/>
      </w:pPr>
      <w:r w:rsidRPr="00D525A4">
        <w:lastRenderedPageBreak/>
        <w:tab/>
        <w:t>(a)</w:t>
      </w:r>
      <w:r w:rsidRPr="00D525A4">
        <w:tab/>
        <w:t>either:</w:t>
      </w:r>
    </w:p>
    <w:p w14:paraId="04F77F46" w14:textId="77777777" w:rsidR="006139EC" w:rsidRPr="00D525A4" w:rsidRDefault="006139EC" w:rsidP="006139EC">
      <w:pPr>
        <w:pStyle w:val="paragraphsub"/>
      </w:pPr>
      <w:r w:rsidRPr="00D525A4">
        <w:tab/>
        <w:t>(i)</w:t>
      </w:r>
      <w:r w:rsidRPr="00D525A4">
        <w:tab/>
        <w:t>for a person who is an individual—the individual; or</w:t>
      </w:r>
    </w:p>
    <w:p w14:paraId="25DA4C57" w14:textId="77777777" w:rsidR="006139EC" w:rsidRPr="00D525A4" w:rsidRDefault="006139EC" w:rsidP="006139EC">
      <w:pPr>
        <w:pStyle w:val="paragraphsub"/>
      </w:pPr>
      <w:r w:rsidRPr="00D525A4">
        <w:tab/>
        <w:t>(ii)</w:t>
      </w:r>
      <w:r w:rsidRPr="00D525A4">
        <w:tab/>
        <w:t>otherwise—the individual, or an individual in the group of individuals, with primary responsibility for the governance and executive decisions of the person;</w:t>
      </w:r>
    </w:p>
    <w:p w14:paraId="42AF6A04" w14:textId="77777777" w:rsidR="006139EC" w:rsidRPr="00D525A4" w:rsidRDefault="006139EC" w:rsidP="006139EC">
      <w:pPr>
        <w:pStyle w:val="paragraph"/>
      </w:pPr>
      <w:r w:rsidRPr="00D525A4">
        <w:tab/>
        <w:t>(b)</w:t>
      </w:r>
      <w:r w:rsidRPr="00D525A4">
        <w:tab/>
        <w:t>for a person other than an individual—a beneficial owner of the person;</w:t>
      </w:r>
    </w:p>
    <w:p w14:paraId="5E82EF12" w14:textId="073CE29B" w:rsidR="006139EC" w:rsidRPr="00D525A4" w:rsidRDefault="006139EC" w:rsidP="006139EC">
      <w:pPr>
        <w:pStyle w:val="paragraph"/>
      </w:pPr>
      <w:r w:rsidRPr="00D525A4">
        <w:tab/>
        <w:t>(c)</w:t>
      </w:r>
      <w:r w:rsidRPr="00D525A4">
        <w:tab/>
      </w:r>
      <w:r w:rsidR="00267CAD" w:rsidRPr="00D525A4">
        <w:t>an individual who makes, or participates in making, decisions that affect the whole, or a substantial part, of the business of the person</w:t>
      </w:r>
      <w:r w:rsidRPr="00D525A4">
        <w:t>;</w:t>
      </w:r>
    </w:p>
    <w:p w14:paraId="601A7AA6" w14:textId="77777777" w:rsidR="006139EC" w:rsidRPr="00D525A4" w:rsidRDefault="006139EC" w:rsidP="006139EC">
      <w:pPr>
        <w:pStyle w:val="paragraph"/>
      </w:pPr>
      <w:r w:rsidRPr="00D525A4">
        <w:tab/>
        <w:t>(d)</w:t>
      </w:r>
      <w:r w:rsidRPr="00D525A4">
        <w:tab/>
        <w:t>an AML/CTF compliance officer of the person.</w:t>
      </w:r>
    </w:p>
    <w:p w14:paraId="72E02ED5" w14:textId="77777777" w:rsidR="006139EC" w:rsidRPr="00D525A4" w:rsidRDefault="006139EC" w:rsidP="006139EC">
      <w:pPr>
        <w:pStyle w:val="notetext"/>
      </w:pPr>
      <w:r w:rsidRPr="00D525A4">
        <w:t>Note:</w:t>
      </w:r>
      <w:r w:rsidRPr="00D525A4">
        <w:tab/>
        <w:t>For a person who is a reporting entity:</w:t>
      </w:r>
    </w:p>
    <w:p w14:paraId="1D719D3D" w14:textId="1BB789A4" w:rsidR="006139EC" w:rsidRPr="00D525A4" w:rsidRDefault="006139EC" w:rsidP="006139EC">
      <w:pPr>
        <w:pStyle w:val="notepara"/>
      </w:pPr>
      <w:r w:rsidRPr="00D525A4">
        <w:t>(a)</w:t>
      </w:r>
      <w:r w:rsidRPr="00D525A4">
        <w:tab/>
      </w:r>
      <w:r w:rsidR="009F59ED" w:rsidRPr="00D525A4">
        <w:t>paragraph (</w:t>
      </w:r>
      <w:r w:rsidRPr="00D525A4">
        <w:t xml:space="preserve">a) covers the reporting entity’s governing body (defined in </w:t>
      </w:r>
      <w:r w:rsidR="0013261E" w:rsidRPr="00D525A4">
        <w:t>section 5</w:t>
      </w:r>
      <w:r w:rsidRPr="00D525A4">
        <w:t xml:space="preserve"> of the Act); and</w:t>
      </w:r>
    </w:p>
    <w:p w14:paraId="2AA9EA61" w14:textId="7A3548D3" w:rsidR="006139EC" w:rsidRPr="00D525A4" w:rsidRDefault="006139EC" w:rsidP="006139EC">
      <w:pPr>
        <w:pStyle w:val="notepara"/>
      </w:pPr>
      <w:r w:rsidRPr="00D525A4">
        <w:t>(b)</w:t>
      </w:r>
      <w:r w:rsidRPr="00D525A4">
        <w:tab/>
      </w:r>
      <w:r w:rsidR="009F59ED" w:rsidRPr="00D525A4">
        <w:t>paragraph (</w:t>
      </w:r>
      <w:r w:rsidRPr="00D525A4">
        <w:t xml:space="preserve">c) covers a senior manager (defined in </w:t>
      </w:r>
      <w:r w:rsidR="0013261E" w:rsidRPr="00D525A4">
        <w:t>section 5</w:t>
      </w:r>
      <w:r w:rsidRPr="00D525A4">
        <w:t xml:space="preserve"> of the Act) of the reporting entity.</w:t>
      </w:r>
    </w:p>
    <w:p w14:paraId="00DC5955" w14:textId="27F34ED1" w:rsidR="00984A40" w:rsidRPr="00D525A4" w:rsidRDefault="00984A40" w:rsidP="00984A40">
      <w:pPr>
        <w:pStyle w:val="Definition"/>
      </w:pPr>
      <w:r w:rsidRPr="00D525A4">
        <w:rPr>
          <w:b/>
          <w:i/>
        </w:rPr>
        <w:t>passport</w:t>
      </w:r>
      <w:r w:rsidRPr="00D525A4">
        <w:t xml:space="preserve"> means:</w:t>
      </w:r>
    </w:p>
    <w:p w14:paraId="205BBC97" w14:textId="77777777" w:rsidR="00984A40" w:rsidRPr="00D525A4" w:rsidRDefault="00984A40" w:rsidP="00984A40">
      <w:pPr>
        <w:pStyle w:val="paragraph"/>
      </w:pPr>
      <w:r w:rsidRPr="00D525A4">
        <w:tab/>
        <w:t>(a)</w:t>
      </w:r>
      <w:r w:rsidRPr="00D525A4">
        <w:tab/>
        <w:t>a</w:t>
      </w:r>
      <w:r w:rsidR="009568BD" w:rsidRPr="00D525A4">
        <w:t>n Australian</w:t>
      </w:r>
      <w:r w:rsidRPr="00D525A4">
        <w:t xml:space="preserve"> passport</w:t>
      </w:r>
      <w:r w:rsidR="009568BD" w:rsidRPr="00D525A4">
        <w:t xml:space="preserve">, within the meaning of the </w:t>
      </w:r>
      <w:r w:rsidR="009568BD" w:rsidRPr="00D525A4">
        <w:rPr>
          <w:i/>
        </w:rPr>
        <w:t>Australian Passports Act 2005</w:t>
      </w:r>
      <w:r w:rsidRPr="00D525A4">
        <w:t>; or</w:t>
      </w:r>
    </w:p>
    <w:p w14:paraId="7A5EB4DC" w14:textId="77777777" w:rsidR="00984A40" w:rsidRPr="00D525A4" w:rsidRDefault="00984A40" w:rsidP="00984A40">
      <w:pPr>
        <w:pStyle w:val="paragraph"/>
      </w:pPr>
      <w:r w:rsidRPr="00D525A4">
        <w:tab/>
        <w:t>(b)</w:t>
      </w:r>
      <w:r w:rsidRPr="00D525A4">
        <w:tab/>
        <w:t>a passport or a similar document issued for the purpose of international travel</w:t>
      </w:r>
      <w:r w:rsidR="003A4669" w:rsidRPr="00D525A4">
        <w:t xml:space="preserve"> t</w:t>
      </w:r>
      <w:r w:rsidRPr="00D525A4">
        <w:t>hat:</w:t>
      </w:r>
    </w:p>
    <w:p w14:paraId="1E4D569F" w14:textId="77777777" w:rsidR="00984A40" w:rsidRPr="00D525A4" w:rsidRDefault="00984A40" w:rsidP="00984A40">
      <w:pPr>
        <w:pStyle w:val="paragraphsub"/>
      </w:pPr>
      <w:r w:rsidRPr="00D525A4">
        <w:tab/>
        <w:t>(i)</w:t>
      </w:r>
      <w:r w:rsidRPr="00D525A4">
        <w:tab/>
        <w:t>contains a photograph and the signature of the person in whose name the document is issued; and</w:t>
      </w:r>
    </w:p>
    <w:p w14:paraId="1800C2D8" w14:textId="77777777" w:rsidR="00DB6DAC" w:rsidRPr="00D525A4" w:rsidRDefault="00984A40" w:rsidP="0005106A">
      <w:pPr>
        <w:pStyle w:val="paragraphsub"/>
      </w:pPr>
      <w:r w:rsidRPr="00D525A4">
        <w:tab/>
        <w:t>(ii)</w:t>
      </w:r>
      <w:r w:rsidRPr="00D525A4">
        <w:tab/>
        <w:t>is issued by a foreign government, the United Nations or an agency of the United Nations.</w:t>
      </w:r>
      <w:bookmarkStart w:id="6" w:name="opcCurrentPosition"/>
      <w:bookmarkEnd w:id="6"/>
    </w:p>
    <w:p w14:paraId="703F8AF8" w14:textId="22EEA07F" w:rsidR="00BD3FF1" w:rsidRPr="00D525A4" w:rsidRDefault="00BD3FF1" w:rsidP="00BD3FF1">
      <w:pPr>
        <w:pStyle w:val="Definition"/>
      </w:pPr>
      <w:r w:rsidRPr="00D525A4">
        <w:rPr>
          <w:b/>
          <w:i/>
        </w:rPr>
        <w:t>payable</w:t>
      </w:r>
      <w:r w:rsidR="00D525A4">
        <w:rPr>
          <w:b/>
          <w:i/>
        </w:rPr>
        <w:noBreakHyphen/>
      </w:r>
      <w:r w:rsidRPr="00D525A4">
        <w:rPr>
          <w:b/>
          <w:i/>
        </w:rPr>
        <w:t>through accounts</w:t>
      </w:r>
      <w:r w:rsidRPr="00D525A4">
        <w:t xml:space="preserve"> has the meaning given by paragraph </w:t>
      </w:r>
      <w:r w:rsidR="00EC097E" w:rsidRPr="00D525A4">
        <w:t>6</w:t>
      </w:r>
      <w:r w:rsidR="00D525A4">
        <w:noBreakHyphen/>
      </w:r>
      <w:r w:rsidR="00EC097E" w:rsidRPr="00D525A4">
        <w:t>1</w:t>
      </w:r>
      <w:r w:rsidRPr="00D525A4">
        <w:t>(3)(g).</w:t>
      </w:r>
    </w:p>
    <w:p w14:paraId="50C33644" w14:textId="77777777" w:rsidR="0089230C" w:rsidRPr="00D525A4" w:rsidRDefault="0089230C" w:rsidP="0089230C">
      <w:pPr>
        <w:pStyle w:val="Definition"/>
      </w:pPr>
      <w:r w:rsidRPr="00D525A4">
        <w:rPr>
          <w:b/>
          <w:i/>
        </w:rPr>
        <w:t>payee information</w:t>
      </w:r>
      <w:r w:rsidRPr="00D525A4">
        <w:t>, in relation to a transfer of value, means all of the following information:</w:t>
      </w:r>
    </w:p>
    <w:p w14:paraId="6C05B760" w14:textId="77777777" w:rsidR="0089230C" w:rsidRPr="00D525A4" w:rsidRDefault="0089230C" w:rsidP="0089230C">
      <w:pPr>
        <w:pStyle w:val="paragraph"/>
      </w:pPr>
      <w:r w:rsidRPr="00D525A4">
        <w:tab/>
        <w:t>(a)</w:t>
      </w:r>
      <w:r w:rsidRPr="00D525A4">
        <w:tab/>
        <w:t>the payee’s full name;</w:t>
      </w:r>
    </w:p>
    <w:p w14:paraId="3258D490" w14:textId="77777777" w:rsidR="0089230C" w:rsidRPr="00D525A4" w:rsidRDefault="0089230C" w:rsidP="0089230C">
      <w:pPr>
        <w:pStyle w:val="paragraph"/>
      </w:pPr>
      <w:r w:rsidRPr="00D525A4">
        <w:tab/>
        <w:t>(b)</w:t>
      </w:r>
      <w:r w:rsidRPr="00D525A4">
        <w:tab/>
        <w:t>tracing information in relation to the transfer of value.</w:t>
      </w:r>
    </w:p>
    <w:p w14:paraId="14DF675D" w14:textId="77777777" w:rsidR="0089230C" w:rsidRPr="00D525A4" w:rsidRDefault="0089230C" w:rsidP="0089230C">
      <w:pPr>
        <w:pStyle w:val="Definition"/>
      </w:pPr>
      <w:bookmarkStart w:id="7" w:name="_Hlk193359839"/>
      <w:r w:rsidRPr="00D525A4">
        <w:rPr>
          <w:b/>
          <w:i/>
        </w:rPr>
        <w:t>payer information</w:t>
      </w:r>
      <w:r w:rsidRPr="00D525A4">
        <w:t>, in relation to a transfer of value, means all of the following information:</w:t>
      </w:r>
    </w:p>
    <w:p w14:paraId="598D2676" w14:textId="77777777" w:rsidR="0089230C" w:rsidRPr="00D525A4" w:rsidRDefault="0089230C" w:rsidP="0089230C">
      <w:pPr>
        <w:pStyle w:val="paragraph"/>
      </w:pPr>
      <w:r w:rsidRPr="00D525A4">
        <w:tab/>
        <w:t>(a)</w:t>
      </w:r>
      <w:r w:rsidRPr="00D525A4">
        <w:tab/>
        <w:t>the payer’s full name;</w:t>
      </w:r>
    </w:p>
    <w:p w14:paraId="1709683E" w14:textId="77777777" w:rsidR="0089230C" w:rsidRPr="00D525A4" w:rsidRDefault="0089230C" w:rsidP="0089230C">
      <w:pPr>
        <w:pStyle w:val="paragraph"/>
      </w:pPr>
      <w:r w:rsidRPr="00D525A4">
        <w:tab/>
        <w:t>(b)</w:t>
      </w:r>
      <w:r w:rsidRPr="00D525A4">
        <w:tab/>
        <w:t>tracing information in relation to the transfer of value;</w:t>
      </w:r>
    </w:p>
    <w:p w14:paraId="5EF0D129" w14:textId="77777777" w:rsidR="0089230C" w:rsidRPr="00D525A4" w:rsidRDefault="0089230C" w:rsidP="0089230C">
      <w:pPr>
        <w:pStyle w:val="paragraph"/>
      </w:pPr>
      <w:r w:rsidRPr="00D525A4">
        <w:tab/>
        <w:t>(c)</w:t>
      </w:r>
      <w:r w:rsidRPr="00D525A4">
        <w:tab/>
        <w:t>information that is one or more of the following:</w:t>
      </w:r>
    </w:p>
    <w:p w14:paraId="57950C67" w14:textId="77777777" w:rsidR="0089230C" w:rsidRPr="00D525A4" w:rsidRDefault="0089230C" w:rsidP="0089230C">
      <w:pPr>
        <w:pStyle w:val="paragraphsub"/>
      </w:pPr>
      <w:r w:rsidRPr="00D525A4">
        <w:tab/>
        <w:t>(i)</w:t>
      </w:r>
      <w:r w:rsidRPr="00D525A4">
        <w:tab/>
        <w:t>a unique customer identification number given to the payer by the ordering institution;</w:t>
      </w:r>
    </w:p>
    <w:p w14:paraId="1E2D4EAE" w14:textId="20D1750E" w:rsidR="0089230C" w:rsidRPr="00D525A4" w:rsidRDefault="0089230C" w:rsidP="0089230C">
      <w:pPr>
        <w:pStyle w:val="paragraphsub"/>
      </w:pPr>
      <w:r w:rsidRPr="00D525A4">
        <w:tab/>
        <w:t>(ii)</w:t>
      </w:r>
      <w:r w:rsidRPr="00D525A4">
        <w:tab/>
      </w:r>
      <w:r w:rsidR="007D4DE3" w:rsidRPr="00D525A4">
        <w:t>a unique identifier for the payer;</w:t>
      </w:r>
    </w:p>
    <w:p w14:paraId="4B303410" w14:textId="2D66DF94" w:rsidR="0089230C" w:rsidRPr="00D525A4" w:rsidRDefault="0089230C" w:rsidP="0089230C">
      <w:pPr>
        <w:pStyle w:val="paragraphsub"/>
      </w:pPr>
      <w:r w:rsidRPr="00D525A4">
        <w:tab/>
        <w:t>(</w:t>
      </w:r>
      <w:r w:rsidR="007D4DE3" w:rsidRPr="00D525A4">
        <w:t>iii</w:t>
      </w:r>
      <w:r w:rsidRPr="00D525A4">
        <w:t>)</w:t>
      </w:r>
      <w:r w:rsidRPr="00D525A4">
        <w:tab/>
        <w:t>if the payer is an individual—the payer’s date and place of birth;</w:t>
      </w:r>
    </w:p>
    <w:p w14:paraId="0514A213" w14:textId="5D90410C" w:rsidR="008C364B" w:rsidRPr="00D525A4" w:rsidRDefault="0089230C" w:rsidP="003D37E1">
      <w:pPr>
        <w:pStyle w:val="paragraphsub"/>
      </w:pPr>
      <w:r w:rsidRPr="00D525A4">
        <w:tab/>
        <w:t>(</w:t>
      </w:r>
      <w:r w:rsidR="007D4DE3" w:rsidRPr="00D525A4">
        <w:t>iv</w:t>
      </w:r>
      <w:r w:rsidRPr="00D525A4">
        <w:t>)</w:t>
      </w:r>
      <w:r w:rsidRPr="00D525A4">
        <w:tab/>
        <w:t>the payer’s full business or residential address (not being a post box)</w:t>
      </w:r>
      <w:bookmarkEnd w:id="7"/>
      <w:r w:rsidRPr="00D525A4">
        <w:t>.</w:t>
      </w:r>
    </w:p>
    <w:p w14:paraId="45D8EBBC" w14:textId="77777777" w:rsidR="006139EC" w:rsidRPr="00D525A4" w:rsidRDefault="006139EC" w:rsidP="006139EC">
      <w:pPr>
        <w:pStyle w:val="Definition"/>
      </w:pPr>
      <w:r w:rsidRPr="00D525A4">
        <w:rPr>
          <w:b/>
          <w:bCs/>
          <w:i/>
          <w:iCs/>
        </w:rPr>
        <w:t>registrable services</w:t>
      </w:r>
      <w:r w:rsidRPr="00D525A4">
        <w:t xml:space="preserve"> means:</w:t>
      </w:r>
    </w:p>
    <w:p w14:paraId="2DD873C0" w14:textId="29E5D87F" w:rsidR="006139EC" w:rsidRPr="00D525A4" w:rsidRDefault="006139EC" w:rsidP="006139EC">
      <w:pPr>
        <w:pStyle w:val="paragraph"/>
      </w:pPr>
      <w:r w:rsidRPr="00D525A4">
        <w:tab/>
        <w:t>(a)</w:t>
      </w:r>
      <w:r w:rsidRPr="00D525A4">
        <w:tab/>
        <w:t xml:space="preserve">in relation to registration or proposed registration of a person under </w:t>
      </w:r>
      <w:r w:rsidR="0013261E" w:rsidRPr="00D525A4">
        <w:t>Part 6</w:t>
      </w:r>
      <w:r w:rsidRPr="00D525A4">
        <w:t xml:space="preserve"> of the Act as a remittance network provider—registrable remittance network services; or</w:t>
      </w:r>
    </w:p>
    <w:p w14:paraId="63DD482B" w14:textId="6CC5B864" w:rsidR="006139EC" w:rsidRPr="00D525A4" w:rsidRDefault="006139EC" w:rsidP="006139EC">
      <w:pPr>
        <w:pStyle w:val="paragraph"/>
      </w:pPr>
      <w:r w:rsidRPr="00D525A4">
        <w:lastRenderedPageBreak/>
        <w:tab/>
        <w:t>(b)</w:t>
      </w:r>
      <w:r w:rsidRPr="00D525A4">
        <w:tab/>
        <w:t xml:space="preserve">in relation to registration or proposed registration of a person under </w:t>
      </w:r>
      <w:r w:rsidR="0013261E" w:rsidRPr="00D525A4">
        <w:t>Part 6</w:t>
      </w:r>
      <w:r w:rsidRPr="00D525A4">
        <w:t xml:space="preserve"> of the Act as an independent remittance dealer or a remittance affiliate of a registered remittance network provider—registrable remittance services; or</w:t>
      </w:r>
    </w:p>
    <w:p w14:paraId="3B267509" w14:textId="3FF7E320" w:rsidR="006139EC" w:rsidRPr="00D525A4" w:rsidRDefault="006139EC" w:rsidP="006139EC">
      <w:pPr>
        <w:pStyle w:val="paragraph"/>
      </w:pPr>
      <w:r w:rsidRPr="00D525A4">
        <w:tab/>
        <w:t>(c)</w:t>
      </w:r>
      <w:r w:rsidRPr="00D525A4">
        <w:tab/>
        <w:t xml:space="preserve">in relation to registration or proposed registration of a person under </w:t>
      </w:r>
      <w:r w:rsidR="0013261E" w:rsidRPr="00D525A4">
        <w:t>Part 6</w:t>
      </w:r>
      <w:r w:rsidRPr="00D525A4">
        <w:t>A of the Act as a virtual asset service provider—registrable virtual asset services.</w:t>
      </w:r>
    </w:p>
    <w:p w14:paraId="372B77BF" w14:textId="378FF025" w:rsidR="002938E3" w:rsidRPr="00D525A4" w:rsidRDefault="002938E3" w:rsidP="00530C49">
      <w:pPr>
        <w:pStyle w:val="Definition"/>
        <w:rPr>
          <w:bCs/>
          <w:iCs/>
        </w:rPr>
      </w:pPr>
      <w:r w:rsidRPr="00D525A4">
        <w:rPr>
          <w:b/>
          <w:i/>
        </w:rPr>
        <w:t>super</w:t>
      </w:r>
      <w:r w:rsidR="00D525A4">
        <w:rPr>
          <w:b/>
          <w:i/>
        </w:rPr>
        <w:noBreakHyphen/>
      </w:r>
      <w:r w:rsidRPr="00D525A4">
        <w:rPr>
          <w:b/>
          <w:i/>
        </w:rPr>
        <w:t>agent</w:t>
      </w:r>
      <w:r w:rsidRPr="00D525A4">
        <w:rPr>
          <w:bCs/>
          <w:iCs/>
        </w:rPr>
        <w:t xml:space="preserve"> has the meaning given by subsection </w:t>
      </w:r>
      <w:r w:rsidR="00EC097E" w:rsidRPr="00D525A4">
        <w:rPr>
          <w:bCs/>
          <w:iCs/>
        </w:rPr>
        <w:t>3</w:t>
      </w:r>
      <w:r w:rsidR="00D525A4">
        <w:rPr>
          <w:bCs/>
          <w:iCs/>
        </w:rPr>
        <w:noBreakHyphen/>
      </w:r>
      <w:r w:rsidR="00EC097E" w:rsidRPr="00D525A4">
        <w:rPr>
          <w:bCs/>
          <w:iCs/>
        </w:rPr>
        <w:t>13</w:t>
      </w:r>
      <w:r w:rsidRPr="00D525A4">
        <w:rPr>
          <w:bCs/>
          <w:iCs/>
        </w:rPr>
        <w:t>(2).</w:t>
      </w:r>
    </w:p>
    <w:p w14:paraId="20EA10F3" w14:textId="7FD8B1D7" w:rsidR="00530C49" w:rsidRPr="00D525A4" w:rsidRDefault="00530C49" w:rsidP="00530C49">
      <w:pPr>
        <w:pStyle w:val="Definition"/>
      </w:pPr>
      <w:r w:rsidRPr="00D525A4">
        <w:rPr>
          <w:b/>
          <w:i/>
        </w:rPr>
        <w:t>tracing information</w:t>
      </w:r>
      <w:r w:rsidRPr="00D525A4">
        <w:t>, in relation to a transfer of value, means</w:t>
      </w:r>
      <w:r w:rsidR="00AB5644" w:rsidRPr="00D525A4">
        <w:t xml:space="preserve"> information </w:t>
      </w:r>
      <w:r w:rsidR="00643B82" w:rsidRPr="00D525A4">
        <w:t>that satisfies the following</w:t>
      </w:r>
      <w:r w:rsidRPr="00D525A4">
        <w:t>:</w:t>
      </w:r>
    </w:p>
    <w:p w14:paraId="4E990A4D" w14:textId="77777777" w:rsidR="00530913" w:rsidRPr="00D525A4" w:rsidRDefault="00530C49" w:rsidP="00530913">
      <w:pPr>
        <w:pStyle w:val="paragraph"/>
      </w:pPr>
      <w:r w:rsidRPr="00D525A4">
        <w:tab/>
        <w:t>(a)</w:t>
      </w:r>
      <w:r w:rsidRPr="00D525A4">
        <w:tab/>
      </w:r>
      <w:r w:rsidR="00530913" w:rsidRPr="00D525A4">
        <w:t>the information:</w:t>
      </w:r>
    </w:p>
    <w:p w14:paraId="602D0583" w14:textId="77777777" w:rsidR="009D1BC0" w:rsidRPr="00D525A4" w:rsidRDefault="00530913" w:rsidP="009D1BC0">
      <w:pPr>
        <w:pStyle w:val="paragraphsub"/>
      </w:pPr>
      <w:r w:rsidRPr="00D525A4">
        <w:tab/>
        <w:t>(i)</w:t>
      </w:r>
      <w:r w:rsidRPr="00D525A4">
        <w:tab/>
        <w:t>for a transfer from an account held by the payer with the ordering institution—enables the ordering institution to identify the account; or</w:t>
      </w:r>
    </w:p>
    <w:p w14:paraId="3A394EC1" w14:textId="77777777" w:rsidR="009D1BC0" w:rsidRPr="00D525A4" w:rsidRDefault="009D1BC0" w:rsidP="009D1BC0">
      <w:pPr>
        <w:pStyle w:val="paragraphsub"/>
      </w:pPr>
      <w:r w:rsidRPr="00D525A4">
        <w:tab/>
        <w:t>(ii)</w:t>
      </w:r>
      <w:r w:rsidRPr="00D525A4">
        <w:tab/>
      </w:r>
      <w:r w:rsidR="00530913" w:rsidRPr="00D525A4">
        <w:t>for a transfer of a virtual asset from a custodial wallet—enables the ordering institution to identify the payer’s virtual asset holdings in the wallet</w:t>
      </w:r>
      <w:r w:rsidR="0092706C" w:rsidRPr="00D525A4">
        <w:t xml:space="preserve"> (such as by providing the wallet address, including the destination tag or memo details, if applicable)</w:t>
      </w:r>
      <w:r w:rsidR="00530913" w:rsidRPr="00D525A4">
        <w:t>; or</w:t>
      </w:r>
    </w:p>
    <w:p w14:paraId="438F05A0" w14:textId="32261634" w:rsidR="00A6620B" w:rsidRPr="00D525A4" w:rsidRDefault="00A6620B" w:rsidP="009D1BC0">
      <w:pPr>
        <w:pStyle w:val="paragraphsub"/>
      </w:pPr>
      <w:r w:rsidRPr="00D525A4">
        <w:tab/>
        <w:t>(iii)</w:t>
      </w:r>
      <w:r w:rsidRPr="00D525A4">
        <w:tab/>
      </w:r>
      <w:r w:rsidR="00CD70A4" w:rsidRPr="00D525A4">
        <w:t xml:space="preserve">for a transfer of a virtual asset from a </w:t>
      </w:r>
      <w:r w:rsidR="00733EB6" w:rsidRPr="00D525A4">
        <w:t>self</w:t>
      </w:r>
      <w:r w:rsidR="00D525A4">
        <w:noBreakHyphen/>
      </w:r>
      <w:r w:rsidR="00733EB6" w:rsidRPr="00D525A4">
        <w:t>hosted</w:t>
      </w:r>
      <w:r w:rsidR="00CD70A4" w:rsidRPr="00D525A4">
        <w:t xml:space="preserve"> </w:t>
      </w:r>
      <w:r w:rsidR="003D622A" w:rsidRPr="00D525A4">
        <w:t xml:space="preserve">virtual asset </w:t>
      </w:r>
      <w:r w:rsidR="00CD70A4" w:rsidRPr="00D525A4">
        <w:t>wallet—</w:t>
      </w:r>
      <w:r w:rsidR="003D622A" w:rsidRPr="00D525A4">
        <w:t xml:space="preserve">provides </w:t>
      </w:r>
      <w:r w:rsidR="00E93E3D" w:rsidRPr="00D525A4">
        <w:t>the address of the wallet; or</w:t>
      </w:r>
    </w:p>
    <w:p w14:paraId="60D797DA" w14:textId="77777777" w:rsidR="00530913" w:rsidRPr="00D525A4" w:rsidRDefault="009D1BC0" w:rsidP="009D1BC0">
      <w:pPr>
        <w:pStyle w:val="paragraphsub"/>
      </w:pPr>
      <w:r w:rsidRPr="00D525A4">
        <w:tab/>
        <w:t>(i</w:t>
      </w:r>
      <w:r w:rsidR="00A6620B" w:rsidRPr="00D525A4">
        <w:t>v</w:t>
      </w:r>
      <w:r w:rsidRPr="00D525A4">
        <w:t>)</w:t>
      </w:r>
      <w:r w:rsidRPr="00D525A4">
        <w:tab/>
      </w:r>
      <w:r w:rsidR="00530913" w:rsidRPr="00D525A4">
        <w:t>in any other case—provides a unique transaction reference number for the transfer of value;</w:t>
      </w:r>
    </w:p>
    <w:p w14:paraId="49E96009" w14:textId="77777777" w:rsidR="00530913" w:rsidRPr="00D525A4" w:rsidRDefault="009D1BC0" w:rsidP="009D1BC0">
      <w:pPr>
        <w:pStyle w:val="paragraph"/>
      </w:pPr>
      <w:r w:rsidRPr="00D525A4">
        <w:tab/>
        <w:t>(b)</w:t>
      </w:r>
      <w:r w:rsidRPr="00D525A4">
        <w:tab/>
      </w:r>
      <w:r w:rsidR="00D977C4" w:rsidRPr="00D525A4">
        <w:t>the information</w:t>
      </w:r>
      <w:r w:rsidR="00530913" w:rsidRPr="00D525A4">
        <w:t>:</w:t>
      </w:r>
    </w:p>
    <w:p w14:paraId="19160AF2" w14:textId="77777777" w:rsidR="00530913" w:rsidRPr="00D525A4" w:rsidRDefault="009D1BC0" w:rsidP="009D1BC0">
      <w:pPr>
        <w:pStyle w:val="paragraphsub"/>
      </w:pPr>
      <w:r w:rsidRPr="00D525A4">
        <w:tab/>
        <w:t>(i)</w:t>
      </w:r>
      <w:r w:rsidRPr="00D525A4">
        <w:tab/>
      </w:r>
      <w:r w:rsidR="00530913" w:rsidRPr="00D525A4">
        <w:t xml:space="preserve">for a transfer </w:t>
      </w:r>
      <w:r w:rsidR="00EA440B" w:rsidRPr="00D525A4">
        <w:t xml:space="preserve">in circumstances </w:t>
      </w:r>
      <w:r w:rsidR="00530913" w:rsidRPr="00D525A4">
        <w:t>where the value is to be made available to the payee by depositing it into an account held by the payee—enables the beneficiary institution to identify the account; or</w:t>
      </w:r>
    </w:p>
    <w:p w14:paraId="7DAE98F0" w14:textId="77777777" w:rsidR="00530913" w:rsidRPr="00D525A4" w:rsidRDefault="009D1BC0" w:rsidP="009D1BC0">
      <w:pPr>
        <w:pStyle w:val="paragraphsub"/>
      </w:pPr>
      <w:r w:rsidRPr="00D525A4">
        <w:tab/>
        <w:t>(ii)</w:t>
      </w:r>
      <w:r w:rsidRPr="00D525A4">
        <w:tab/>
      </w:r>
      <w:r w:rsidR="00530913" w:rsidRPr="00D525A4">
        <w:t xml:space="preserve">for a transfer </w:t>
      </w:r>
      <w:r w:rsidR="00FA6312" w:rsidRPr="00D525A4">
        <w:t xml:space="preserve">of a virtual asset </w:t>
      </w:r>
      <w:r w:rsidR="00EA440B" w:rsidRPr="00D525A4">
        <w:t xml:space="preserve">in circumstances </w:t>
      </w:r>
      <w:r w:rsidR="00530913" w:rsidRPr="00D525A4">
        <w:t xml:space="preserve">where the </w:t>
      </w:r>
      <w:r w:rsidR="004A2A15" w:rsidRPr="00D525A4">
        <w:t>asset</w:t>
      </w:r>
      <w:r w:rsidR="00530913" w:rsidRPr="00D525A4">
        <w:t xml:space="preserve"> is to be made available to the payee by transferring it to</w:t>
      </w:r>
      <w:r w:rsidR="00A6620B" w:rsidRPr="00D525A4">
        <w:t xml:space="preserve"> </w:t>
      </w:r>
      <w:r w:rsidR="00530913" w:rsidRPr="00D525A4">
        <w:t>a custodial wallet—enables the beneficiary institution to identify the payer’s virtual asset holdings in the wallet</w:t>
      </w:r>
      <w:r w:rsidR="00DA0B76" w:rsidRPr="00D525A4">
        <w:t xml:space="preserve"> (such as by providing</w:t>
      </w:r>
      <w:r w:rsidR="00E54CE4" w:rsidRPr="00D525A4">
        <w:t xml:space="preserve"> the wallet address, including </w:t>
      </w:r>
      <w:r w:rsidR="0092706C" w:rsidRPr="00D525A4">
        <w:t xml:space="preserve">the </w:t>
      </w:r>
      <w:r w:rsidR="00E54CE4" w:rsidRPr="00D525A4">
        <w:t>destination tag or memo details, if applicable)</w:t>
      </w:r>
      <w:r w:rsidR="00530913" w:rsidRPr="00D525A4">
        <w:t>; or</w:t>
      </w:r>
    </w:p>
    <w:p w14:paraId="2E2E23C7" w14:textId="66DB777F" w:rsidR="00E93E3D" w:rsidRPr="00D525A4" w:rsidRDefault="00E93E3D" w:rsidP="009D1BC0">
      <w:pPr>
        <w:pStyle w:val="paragraphsub"/>
      </w:pPr>
      <w:r w:rsidRPr="00D525A4">
        <w:tab/>
        <w:t>(iii)</w:t>
      </w:r>
      <w:r w:rsidRPr="00D525A4">
        <w:tab/>
      </w:r>
      <w:r w:rsidR="00B76C99" w:rsidRPr="00D525A4">
        <w:t xml:space="preserve">for a transfer of a virtual asset in circumstances where </w:t>
      </w:r>
      <w:r w:rsidR="00CE06C9" w:rsidRPr="00D525A4">
        <w:t xml:space="preserve">the value is </w:t>
      </w:r>
      <w:r w:rsidR="00C12B0F" w:rsidRPr="00D525A4">
        <w:t xml:space="preserve">to be </w:t>
      </w:r>
      <w:r w:rsidR="00CE06C9" w:rsidRPr="00D525A4">
        <w:t>made available to the payee by transferring it to a self</w:t>
      </w:r>
      <w:r w:rsidR="00D525A4">
        <w:noBreakHyphen/>
      </w:r>
      <w:r w:rsidR="00CE06C9" w:rsidRPr="00D525A4">
        <w:t>hosted virtual asset wallet—</w:t>
      </w:r>
      <w:r w:rsidR="00154463" w:rsidRPr="00D525A4">
        <w:t xml:space="preserve">provides </w:t>
      </w:r>
      <w:r w:rsidR="00CE06C9" w:rsidRPr="00D525A4">
        <w:t>the address of the</w:t>
      </w:r>
      <w:r w:rsidR="00DE72A4" w:rsidRPr="00D525A4">
        <w:t xml:space="preserve"> </w:t>
      </w:r>
      <w:r w:rsidR="00CE06C9" w:rsidRPr="00D525A4">
        <w:t>walle</w:t>
      </w:r>
      <w:r w:rsidR="000B2270" w:rsidRPr="00D525A4">
        <w:t>t</w:t>
      </w:r>
      <w:r w:rsidR="00CE06C9" w:rsidRPr="00D525A4">
        <w:t>; or</w:t>
      </w:r>
    </w:p>
    <w:p w14:paraId="3B1F550C" w14:textId="77777777" w:rsidR="00530C49" w:rsidRPr="00D525A4" w:rsidRDefault="009D1BC0" w:rsidP="009D1BC0">
      <w:pPr>
        <w:pStyle w:val="paragraphsub"/>
      </w:pPr>
      <w:r w:rsidRPr="00D525A4">
        <w:tab/>
        <w:t>(i</w:t>
      </w:r>
      <w:r w:rsidR="00E93E3D" w:rsidRPr="00D525A4">
        <w:t>v</w:t>
      </w:r>
      <w:r w:rsidRPr="00D525A4">
        <w:t>)</w:t>
      </w:r>
      <w:r w:rsidRPr="00D525A4">
        <w:tab/>
      </w:r>
      <w:r w:rsidR="00530913" w:rsidRPr="00D525A4">
        <w:t>in any other case—provides a unique transaction reference number for the transfer of valu</w:t>
      </w:r>
      <w:r w:rsidR="004A2A15" w:rsidRPr="00D525A4">
        <w:t>e</w:t>
      </w:r>
      <w:r w:rsidR="00530C49" w:rsidRPr="00D525A4">
        <w:t>.</w:t>
      </w:r>
    </w:p>
    <w:p w14:paraId="53234F83" w14:textId="04B6F493" w:rsidR="00E66F21" w:rsidRPr="00D525A4" w:rsidRDefault="00530C49" w:rsidP="004F7750">
      <w:pPr>
        <w:pStyle w:val="notetext"/>
      </w:pPr>
      <w:r w:rsidRPr="00D525A4">
        <w:t>Note:</w:t>
      </w:r>
      <w:r w:rsidRPr="00D525A4">
        <w:tab/>
        <w:t xml:space="preserve">An example of information to which </w:t>
      </w:r>
      <w:r w:rsidR="0013261E" w:rsidRPr="00D525A4">
        <w:t>sub</w:t>
      </w:r>
      <w:r w:rsidR="0010391B" w:rsidRPr="00D525A4">
        <w:t>paragraphs (</w:t>
      </w:r>
      <w:r w:rsidRPr="00D525A4">
        <w:t>a)(i) and (b)(i) apply is a combination of a BSB and account number.</w:t>
      </w:r>
    </w:p>
    <w:p w14:paraId="1251B921" w14:textId="77777777" w:rsidR="005D556D" w:rsidRPr="00D525A4" w:rsidRDefault="000A3338" w:rsidP="00C57678">
      <w:pPr>
        <w:pStyle w:val="Definition"/>
      </w:pPr>
      <w:r w:rsidRPr="00D525A4">
        <w:rPr>
          <w:b/>
          <w:i/>
        </w:rPr>
        <w:t>ultimate parent</w:t>
      </w:r>
      <w:r w:rsidRPr="00D525A4">
        <w:t xml:space="preserve"> </w:t>
      </w:r>
      <w:r w:rsidR="00A44370" w:rsidRPr="00D525A4">
        <w:t xml:space="preserve">of </w:t>
      </w:r>
      <w:r w:rsidR="009678C0" w:rsidRPr="00D525A4">
        <w:t xml:space="preserve">a </w:t>
      </w:r>
      <w:r w:rsidR="005F7F1C" w:rsidRPr="00D525A4">
        <w:t xml:space="preserve">remitter, virtual asset service provider or </w:t>
      </w:r>
      <w:r w:rsidR="009678C0" w:rsidRPr="00D525A4">
        <w:t xml:space="preserve">financial institution means </w:t>
      </w:r>
      <w:r w:rsidR="00D33CC8" w:rsidRPr="00D525A4">
        <w:t>a</w:t>
      </w:r>
      <w:r w:rsidR="009E2753" w:rsidRPr="00D525A4">
        <w:t xml:space="preserve"> </w:t>
      </w:r>
      <w:r w:rsidR="00515ECA" w:rsidRPr="00D525A4">
        <w:t>body corporate</w:t>
      </w:r>
      <w:r w:rsidR="00D960BE" w:rsidRPr="00D525A4">
        <w:t xml:space="preserve"> that</w:t>
      </w:r>
      <w:r w:rsidR="005D556D" w:rsidRPr="00D525A4">
        <w:t>:</w:t>
      </w:r>
    </w:p>
    <w:p w14:paraId="6437D524" w14:textId="77777777" w:rsidR="00D960BE" w:rsidRPr="00D525A4" w:rsidRDefault="005D556D" w:rsidP="005D556D">
      <w:pPr>
        <w:pStyle w:val="paragraph"/>
      </w:pPr>
      <w:r w:rsidRPr="00D525A4">
        <w:tab/>
        <w:t>(a)</w:t>
      </w:r>
      <w:r w:rsidRPr="00D525A4">
        <w:tab/>
      </w:r>
      <w:r w:rsidR="00D960BE" w:rsidRPr="00D525A4">
        <w:t>control</w:t>
      </w:r>
      <w:r w:rsidR="00E53FF7" w:rsidRPr="00D525A4">
        <w:t>s</w:t>
      </w:r>
      <w:r w:rsidR="00D960BE" w:rsidRPr="00D525A4">
        <w:t xml:space="preserve"> the </w:t>
      </w:r>
      <w:r w:rsidR="00E53FF7" w:rsidRPr="00D525A4">
        <w:t xml:space="preserve">remitter, virtual asset service provider or </w:t>
      </w:r>
      <w:r w:rsidR="00D960BE" w:rsidRPr="00D525A4">
        <w:t>financial institution; and</w:t>
      </w:r>
    </w:p>
    <w:p w14:paraId="4CF8C215" w14:textId="77777777" w:rsidR="00F25A56" w:rsidRPr="00D525A4" w:rsidRDefault="00D960BE" w:rsidP="005D556D">
      <w:pPr>
        <w:pStyle w:val="paragraph"/>
      </w:pPr>
      <w:r w:rsidRPr="00D525A4">
        <w:tab/>
        <w:t>(b)</w:t>
      </w:r>
      <w:r w:rsidRPr="00D525A4">
        <w:tab/>
        <w:t xml:space="preserve">is </w:t>
      </w:r>
      <w:r w:rsidR="00D22B47" w:rsidRPr="00D525A4">
        <w:t xml:space="preserve">not itself controlled by another </w:t>
      </w:r>
      <w:r w:rsidR="00515ECA" w:rsidRPr="00D525A4">
        <w:t>body corporate</w:t>
      </w:r>
      <w:r w:rsidR="00234E74" w:rsidRPr="00D525A4">
        <w:t>.</w:t>
      </w:r>
    </w:p>
    <w:p w14:paraId="72559428" w14:textId="77777777" w:rsidR="00363844" w:rsidRPr="00D525A4" w:rsidRDefault="00363844" w:rsidP="00363844">
      <w:pPr>
        <w:pStyle w:val="Definition"/>
      </w:pPr>
      <w:r w:rsidRPr="00D525A4">
        <w:rPr>
          <w:b/>
          <w:bCs/>
          <w:i/>
          <w:iCs/>
        </w:rPr>
        <w:t>unique identifier</w:t>
      </w:r>
      <w:r w:rsidRPr="00D525A4">
        <w:t xml:space="preserve"> for a person means:</w:t>
      </w:r>
    </w:p>
    <w:p w14:paraId="5821BCF7" w14:textId="40754EE7" w:rsidR="00363844" w:rsidRPr="00D525A4" w:rsidRDefault="00363844" w:rsidP="0055602F">
      <w:pPr>
        <w:pStyle w:val="paragraph"/>
      </w:pPr>
      <w:r w:rsidRPr="00D525A4">
        <w:lastRenderedPageBreak/>
        <w:tab/>
        <w:t>(a)</w:t>
      </w:r>
      <w:r w:rsidRPr="00D525A4">
        <w:tab/>
        <w:t>a unique identifi</w:t>
      </w:r>
      <w:r w:rsidR="00994456" w:rsidRPr="00D525A4">
        <w:t>er</w:t>
      </w:r>
      <w:r w:rsidRPr="00D525A4">
        <w:t xml:space="preserve"> given to the person by an Australian government body (other than the person’s tax file number </w:t>
      </w:r>
      <w:r w:rsidR="0055602F" w:rsidRPr="00D525A4">
        <w:t xml:space="preserve">within the meaning of </w:t>
      </w:r>
      <w:r w:rsidR="0010391B" w:rsidRPr="00D525A4">
        <w:t>section 2</w:t>
      </w:r>
      <w:r w:rsidR="0055602F" w:rsidRPr="00D525A4">
        <w:t xml:space="preserve">02A of the </w:t>
      </w:r>
      <w:r w:rsidR="0055602F" w:rsidRPr="00D525A4">
        <w:rPr>
          <w:i/>
          <w:iCs/>
        </w:rPr>
        <w:t>Income Tax Assessment Act 1936</w:t>
      </w:r>
      <w:r w:rsidRPr="00D525A4">
        <w:t>); or</w:t>
      </w:r>
    </w:p>
    <w:p w14:paraId="215B2214" w14:textId="7A18BD94" w:rsidR="00363844" w:rsidRPr="00D525A4" w:rsidRDefault="00363844" w:rsidP="007D4DE3">
      <w:pPr>
        <w:pStyle w:val="paragraph"/>
      </w:pPr>
      <w:r w:rsidRPr="00D525A4">
        <w:tab/>
        <w:t>(b)</w:t>
      </w:r>
      <w:r w:rsidRPr="00D525A4">
        <w:tab/>
        <w:t>a unique identi</w:t>
      </w:r>
      <w:r w:rsidR="00994456" w:rsidRPr="00D525A4">
        <w:t>fier</w:t>
      </w:r>
      <w:r w:rsidRPr="00D525A4">
        <w:t xml:space="preserve"> given to the person by </w:t>
      </w:r>
      <w:r w:rsidR="00ED6ACF" w:rsidRPr="00D525A4">
        <w:t>a government body of a foreign country</w:t>
      </w:r>
      <w:r w:rsidR="00E73064" w:rsidRPr="00D525A4">
        <w:t xml:space="preserve"> (</w:t>
      </w:r>
      <w:r w:rsidR="00ED6ACF" w:rsidRPr="00D525A4">
        <w:t>together with information identifying the body</w:t>
      </w:r>
      <w:r w:rsidR="00E73064" w:rsidRPr="00D525A4">
        <w:t>)</w:t>
      </w:r>
      <w:r w:rsidRPr="00D525A4">
        <w:t>; or</w:t>
      </w:r>
    </w:p>
    <w:p w14:paraId="35D26EB2" w14:textId="6CD457F5" w:rsidR="00363844" w:rsidRPr="00D525A4" w:rsidRDefault="00363844" w:rsidP="007D4DE3">
      <w:pPr>
        <w:pStyle w:val="paragraph"/>
      </w:pPr>
      <w:r w:rsidRPr="00D525A4">
        <w:tab/>
        <w:t>(</w:t>
      </w:r>
      <w:r w:rsidR="007D4DE3" w:rsidRPr="00D525A4">
        <w:t>c</w:t>
      </w:r>
      <w:r w:rsidRPr="00D525A4">
        <w:t>)</w:t>
      </w:r>
      <w:r w:rsidRPr="00D525A4">
        <w:tab/>
        <w:t>a unique identif</w:t>
      </w:r>
      <w:r w:rsidR="00994456" w:rsidRPr="00D525A4">
        <w:t>ier</w:t>
      </w:r>
      <w:r w:rsidRPr="00D525A4">
        <w:t xml:space="preserve"> given to the person by an organisation accredited by the Global Legal Entity Identification Foundation</w:t>
      </w:r>
      <w:r w:rsidR="00E73064" w:rsidRPr="00D525A4">
        <w:t xml:space="preserve"> (</w:t>
      </w:r>
      <w:r w:rsidR="007E6272" w:rsidRPr="00D525A4">
        <w:t>together with information identifying the organisation</w:t>
      </w:r>
      <w:r w:rsidR="00E73064" w:rsidRPr="00D525A4">
        <w:t>)</w:t>
      </w:r>
      <w:r w:rsidR="007D4DE3" w:rsidRPr="00D525A4">
        <w:t>.</w:t>
      </w:r>
    </w:p>
    <w:p w14:paraId="7E3A9111" w14:textId="6CC3FD1F" w:rsidR="000E1AAB" w:rsidRPr="00D525A4" w:rsidRDefault="000E1AAB" w:rsidP="000E1AAB">
      <w:pPr>
        <w:pStyle w:val="Definition"/>
      </w:pPr>
      <w:r w:rsidRPr="00D525A4">
        <w:rPr>
          <w:b/>
          <w:i/>
        </w:rPr>
        <w:t>unique transaction reference number</w:t>
      </w:r>
      <w:r w:rsidRPr="00D525A4">
        <w:t>, in relation to a transfer of value, means information to which both of the following paragraphs apply:</w:t>
      </w:r>
    </w:p>
    <w:p w14:paraId="27DC3988" w14:textId="77777777" w:rsidR="000E1AAB" w:rsidRPr="00D525A4" w:rsidRDefault="000E1AAB" w:rsidP="000E1AAB">
      <w:pPr>
        <w:pStyle w:val="paragraph"/>
      </w:pPr>
      <w:r w:rsidRPr="00D525A4">
        <w:tab/>
        <w:t>(a)</w:t>
      </w:r>
      <w:r w:rsidRPr="00D525A4">
        <w:tab/>
        <w:t>the information is a combination of any o</w:t>
      </w:r>
      <w:r w:rsidR="007F6A9D" w:rsidRPr="00D525A4">
        <w:t>r</w:t>
      </w:r>
      <w:r w:rsidRPr="00D525A4">
        <w:t xml:space="preserve"> all of the following:</w:t>
      </w:r>
    </w:p>
    <w:p w14:paraId="4697CFBA" w14:textId="77777777" w:rsidR="000E1AAB" w:rsidRPr="00D525A4" w:rsidRDefault="000E1AAB" w:rsidP="000E1AAB">
      <w:pPr>
        <w:pStyle w:val="paragraphsub"/>
      </w:pPr>
      <w:r w:rsidRPr="00D525A4">
        <w:tab/>
        <w:t>(i)</w:t>
      </w:r>
      <w:r w:rsidRPr="00D525A4">
        <w:tab/>
        <w:t>letters;</w:t>
      </w:r>
    </w:p>
    <w:p w14:paraId="4908EAB0" w14:textId="77777777" w:rsidR="000E1AAB" w:rsidRPr="00D525A4" w:rsidRDefault="000E1AAB" w:rsidP="000E1AAB">
      <w:pPr>
        <w:pStyle w:val="paragraphsub"/>
      </w:pPr>
      <w:r w:rsidRPr="00D525A4">
        <w:tab/>
        <w:t>(ii)</w:t>
      </w:r>
      <w:r w:rsidRPr="00D525A4">
        <w:tab/>
        <w:t>digits;</w:t>
      </w:r>
    </w:p>
    <w:p w14:paraId="76202CCA" w14:textId="77777777" w:rsidR="000E1AAB" w:rsidRPr="00D525A4" w:rsidRDefault="000E1AAB" w:rsidP="000E1AAB">
      <w:pPr>
        <w:pStyle w:val="paragraphsub"/>
      </w:pPr>
      <w:r w:rsidRPr="00D525A4">
        <w:tab/>
        <w:t>(iii)</w:t>
      </w:r>
      <w:r w:rsidRPr="00D525A4">
        <w:tab/>
        <w:t>characters;</w:t>
      </w:r>
    </w:p>
    <w:p w14:paraId="4B632CD4" w14:textId="77777777" w:rsidR="000E1AAB" w:rsidRPr="00D525A4" w:rsidRDefault="000E1AAB" w:rsidP="000E1AAB">
      <w:pPr>
        <w:pStyle w:val="paragraphsub"/>
      </w:pPr>
      <w:r w:rsidRPr="00D525A4">
        <w:tab/>
        <w:t>(iv)</w:t>
      </w:r>
      <w:r w:rsidRPr="00D525A4">
        <w:tab/>
        <w:t>symbols;</w:t>
      </w:r>
    </w:p>
    <w:p w14:paraId="36BBAD23" w14:textId="77777777" w:rsidR="000E1AAB" w:rsidRPr="00D525A4" w:rsidRDefault="000E1AAB" w:rsidP="000E1AAB">
      <w:pPr>
        <w:pStyle w:val="paragraph"/>
      </w:pPr>
      <w:r w:rsidRPr="00D525A4">
        <w:tab/>
        <w:t>(b)</w:t>
      </w:r>
      <w:r w:rsidRPr="00D525A4">
        <w:tab/>
        <w:t>the information distinguishes the transfer of value in a way that, either alone or in conjunction with any other information in the transfer message for the transfer of value, enables the ordering institution to associate the transfer of value with the payer, and the beneficiary institution to associate the transfer of value with the payee.</w:t>
      </w:r>
    </w:p>
    <w:p w14:paraId="040FCB5B" w14:textId="27FC8446" w:rsidR="00DE4C07" w:rsidRPr="00D525A4" w:rsidRDefault="00EC097E" w:rsidP="00DE4C07">
      <w:pPr>
        <w:pStyle w:val="ActHead5"/>
      </w:pPr>
      <w:bookmarkStart w:id="8" w:name="_Toc198224901"/>
      <w:bookmarkStart w:id="9" w:name="_Hlk181360410"/>
      <w:r w:rsidRPr="00D525A4">
        <w:rPr>
          <w:rStyle w:val="CharSectno"/>
        </w:rPr>
        <w:t>1</w:t>
      </w:r>
      <w:r w:rsidR="00D525A4">
        <w:rPr>
          <w:rStyle w:val="CharSectno"/>
        </w:rPr>
        <w:noBreakHyphen/>
      </w:r>
      <w:r w:rsidRPr="00D525A4">
        <w:rPr>
          <w:rStyle w:val="CharSectno"/>
        </w:rPr>
        <w:t>5</w:t>
      </w:r>
      <w:r w:rsidR="00DE4C07" w:rsidRPr="00D525A4">
        <w:t xml:space="preserve">  Domestic politically exposed person</w:t>
      </w:r>
      <w:bookmarkEnd w:id="8"/>
    </w:p>
    <w:p w14:paraId="6CF91E86" w14:textId="1A2B2473" w:rsidR="00DE4C07" w:rsidRPr="00D525A4" w:rsidRDefault="00DE4C07" w:rsidP="00DE4C07">
      <w:pPr>
        <w:pStyle w:val="subsection"/>
      </w:pPr>
      <w:r w:rsidRPr="00D525A4">
        <w:tab/>
      </w:r>
      <w:r w:rsidR="00EA6F60" w:rsidRPr="00D525A4">
        <w:tab/>
      </w:r>
      <w:r w:rsidRPr="00D525A4">
        <w:t xml:space="preserve">For the purposes of </w:t>
      </w:r>
      <w:r w:rsidR="009F59ED" w:rsidRPr="00D525A4">
        <w:t>paragraph (</w:t>
      </w:r>
      <w:r w:rsidRPr="00D525A4">
        <w:t xml:space="preserve">a) of the definition of </w:t>
      </w:r>
      <w:r w:rsidRPr="00D525A4">
        <w:rPr>
          <w:b/>
          <w:i/>
        </w:rPr>
        <w:t>domestic politically exposed person</w:t>
      </w:r>
      <w:r w:rsidRPr="00D525A4">
        <w:t xml:space="preserve"> in </w:t>
      </w:r>
      <w:r w:rsidR="0013261E" w:rsidRPr="00D525A4">
        <w:t>section 5</w:t>
      </w:r>
      <w:r w:rsidRPr="00D525A4">
        <w:t xml:space="preserve"> of the Act, the following offices and positions are specified:</w:t>
      </w:r>
    </w:p>
    <w:p w14:paraId="2C14EAEC" w14:textId="7665ACBD" w:rsidR="00DE4C07" w:rsidRPr="00D525A4" w:rsidRDefault="00DE4C07" w:rsidP="00DE4C07">
      <w:pPr>
        <w:pStyle w:val="paragraph"/>
      </w:pPr>
      <w:r w:rsidRPr="00D525A4">
        <w:tab/>
        <w:t>(a)</w:t>
      </w:r>
      <w:r w:rsidRPr="00D525A4">
        <w:tab/>
        <w:t>Governor</w:t>
      </w:r>
      <w:r w:rsidR="00D525A4">
        <w:noBreakHyphen/>
      </w:r>
      <w:r w:rsidRPr="00D525A4">
        <w:t>General;</w:t>
      </w:r>
    </w:p>
    <w:p w14:paraId="39853D78" w14:textId="77777777" w:rsidR="00DE4C07" w:rsidRPr="00D525A4" w:rsidRDefault="00DE4C07" w:rsidP="00DE4C07">
      <w:pPr>
        <w:pStyle w:val="paragraph"/>
      </w:pPr>
      <w:r w:rsidRPr="00D525A4">
        <w:tab/>
        <w:t>(b)</w:t>
      </w:r>
      <w:r w:rsidRPr="00D525A4">
        <w:tab/>
        <w:t>Governor of a State;</w:t>
      </w:r>
    </w:p>
    <w:p w14:paraId="47940759" w14:textId="77777777" w:rsidR="00DE4C07" w:rsidRPr="00D525A4" w:rsidRDefault="00DE4C07" w:rsidP="00DE4C07">
      <w:pPr>
        <w:pStyle w:val="paragraph"/>
      </w:pPr>
      <w:r w:rsidRPr="00D525A4">
        <w:tab/>
        <w:t>(c)</w:t>
      </w:r>
      <w:r w:rsidRPr="00D525A4">
        <w:tab/>
        <w:t>Administrator of a Territory;</w:t>
      </w:r>
    </w:p>
    <w:p w14:paraId="14EACA9C" w14:textId="77777777" w:rsidR="00DE4C07" w:rsidRPr="00D525A4" w:rsidRDefault="00DE4C07" w:rsidP="00DE4C07">
      <w:pPr>
        <w:pStyle w:val="paragraph"/>
      </w:pPr>
      <w:r w:rsidRPr="00D525A4">
        <w:tab/>
        <w:t>(d)</w:t>
      </w:r>
      <w:r w:rsidRPr="00D525A4">
        <w:tab/>
        <w:t>Justice of the High Court;</w:t>
      </w:r>
    </w:p>
    <w:p w14:paraId="0E6B7E05" w14:textId="77777777" w:rsidR="00DE4C07" w:rsidRPr="00D525A4" w:rsidRDefault="00DE4C07" w:rsidP="00DE4C07">
      <w:pPr>
        <w:pStyle w:val="paragraph"/>
      </w:pPr>
      <w:r w:rsidRPr="00D525A4">
        <w:tab/>
        <w:t>(e)</w:t>
      </w:r>
      <w:r w:rsidRPr="00D525A4">
        <w:tab/>
        <w:t>Judge of the Federal Court of Australia</w:t>
      </w:r>
      <w:r w:rsidR="00DC119F" w:rsidRPr="00D525A4">
        <w:t>;</w:t>
      </w:r>
    </w:p>
    <w:p w14:paraId="4CCE33E6" w14:textId="77777777" w:rsidR="00331D38" w:rsidRPr="00D525A4" w:rsidRDefault="00DE4C07" w:rsidP="00331D38">
      <w:pPr>
        <w:pStyle w:val="paragraph"/>
      </w:pPr>
      <w:r w:rsidRPr="00D525A4">
        <w:tab/>
        <w:t>(f)</w:t>
      </w:r>
      <w:r w:rsidRPr="00D525A4">
        <w:tab/>
        <w:t>Judge of the Supreme Court of a State or Territory</w:t>
      </w:r>
      <w:r w:rsidR="002A23F1" w:rsidRPr="00D525A4">
        <w:t>;</w:t>
      </w:r>
    </w:p>
    <w:p w14:paraId="1DA9CD3B" w14:textId="77777777" w:rsidR="006A3146" w:rsidRPr="00D525A4" w:rsidRDefault="006A3146" w:rsidP="00331D38">
      <w:pPr>
        <w:pStyle w:val="paragraph"/>
      </w:pPr>
      <w:r w:rsidRPr="00D525A4">
        <w:tab/>
        <w:t>(g)</w:t>
      </w:r>
      <w:r w:rsidRPr="00D525A4">
        <w:tab/>
      </w:r>
      <w:r w:rsidR="009605AE" w:rsidRPr="00D525A4">
        <w:t xml:space="preserve">accountable authority, or member of </w:t>
      </w:r>
      <w:r w:rsidR="006650CB" w:rsidRPr="00D525A4">
        <w:t>the</w:t>
      </w:r>
      <w:r w:rsidR="009605AE" w:rsidRPr="00D525A4">
        <w:t xml:space="preserve"> accountable authority, of a Commonwealth entity within the meaning of the </w:t>
      </w:r>
      <w:r w:rsidR="009605AE" w:rsidRPr="00D525A4">
        <w:rPr>
          <w:i/>
        </w:rPr>
        <w:t>Public Governance, Performance and Accountability Act 2013</w:t>
      </w:r>
      <w:r w:rsidR="007841DF" w:rsidRPr="00D525A4">
        <w:t>;</w:t>
      </w:r>
    </w:p>
    <w:p w14:paraId="16331FA3" w14:textId="73F09441" w:rsidR="00C76F51" w:rsidRPr="00D525A4" w:rsidRDefault="004F3FDC" w:rsidP="007D3CD5">
      <w:pPr>
        <w:pStyle w:val="paragraph"/>
      </w:pPr>
      <w:r w:rsidRPr="00D525A4">
        <w:tab/>
        <w:t>(h)</w:t>
      </w:r>
      <w:r w:rsidRPr="00D525A4">
        <w:tab/>
      </w:r>
      <w:r w:rsidR="00276E74" w:rsidRPr="00D525A4">
        <w:t>member of the governing body</w:t>
      </w:r>
      <w:r w:rsidR="00E743A8" w:rsidRPr="00D525A4">
        <w:t xml:space="preserve"> </w:t>
      </w:r>
      <w:r w:rsidR="00500437" w:rsidRPr="00D525A4">
        <w:t xml:space="preserve">of a </w:t>
      </w:r>
      <w:r w:rsidR="00B3216E" w:rsidRPr="00D525A4">
        <w:t>wholly</w:t>
      </w:r>
      <w:r w:rsidR="00D525A4">
        <w:noBreakHyphen/>
      </w:r>
      <w:r w:rsidR="00B3216E" w:rsidRPr="00D525A4">
        <w:t xml:space="preserve">owned </w:t>
      </w:r>
      <w:r w:rsidR="00500437" w:rsidRPr="00D525A4">
        <w:t xml:space="preserve">Commonwealth company </w:t>
      </w:r>
      <w:r w:rsidR="00B3216E" w:rsidRPr="00D525A4">
        <w:t>within the meaning</w:t>
      </w:r>
      <w:r w:rsidR="00D83603" w:rsidRPr="00D525A4">
        <w:t xml:space="preserve"> of the </w:t>
      </w:r>
      <w:r w:rsidR="00D83603" w:rsidRPr="00D525A4">
        <w:rPr>
          <w:i/>
        </w:rPr>
        <w:t>Public Governance, Performance and Accountability Act 2013</w:t>
      </w:r>
      <w:r w:rsidR="00D83603" w:rsidRPr="00D525A4">
        <w:t>;</w:t>
      </w:r>
      <w:bookmarkEnd w:id="9"/>
    </w:p>
    <w:p w14:paraId="0EC87607" w14:textId="77777777" w:rsidR="00A075D9" w:rsidRPr="00D525A4" w:rsidRDefault="00C76F51" w:rsidP="00A075D9">
      <w:pPr>
        <w:pStyle w:val="paragraph"/>
      </w:pPr>
      <w:r w:rsidRPr="00D525A4">
        <w:tab/>
        <w:t>(i)</w:t>
      </w:r>
      <w:r w:rsidRPr="00D525A4">
        <w:tab/>
        <w:t>head (however described) of a Department of State of a State or Territory;</w:t>
      </w:r>
    </w:p>
    <w:p w14:paraId="42516377" w14:textId="6824A21E" w:rsidR="00C76F51" w:rsidRPr="00D525A4" w:rsidRDefault="00A075D9" w:rsidP="00A075D9">
      <w:pPr>
        <w:pStyle w:val="paragraph"/>
      </w:pPr>
      <w:r w:rsidRPr="00D525A4">
        <w:tab/>
        <w:t>(j)</w:t>
      </w:r>
      <w:r w:rsidRPr="00D525A4">
        <w:tab/>
        <w:t>head (however described), or member, of a local government council in a State or Territory;</w:t>
      </w:r>
    </w:p>
    <w:p w14:paraId="0FA75C9F" w14:textId="6DB0D8DA" w:rsidR="00A075D9" w:rsidRPr="00D525A4" w:rsidRDefault="00C76F51" w:rsidP="00F7225A">
      <w:pPr>
        <w:pStyle w:val="paragraph"/>
      </w:pPr>
      <w:r w:rsidRPr="00D525A4">
        <w:tab/>
        <w:t>(</w:t>
      </w:r>
      <w:r w:rsidR="00EE31FA" w:rsidRPr="00D525A4">
        <w:t>k</w:t>
      </w:r>
      <w:r w:rsidRPr="00D525A4">
        <w:t>)</w:t>
      </w:r>
      <w:r w:rsidRPr="00D525A4">
        <w:tab/>
      </w:r>
      <w:r w:rsidR="00A075D9" w:rsidRPr="00D525A4">
        <w:t>an</w:t>
      </w:r>
      <w:r w:rsidR="006C516C" w:rsidRPr="00D525A4">
        <w:t>y other</w:t>
      </w:r>
      <w:r w:rsidR="00A075D9" w:rsidRPr="00D525A4">
        <w:t xml:space="preserve"> office or position, as head (however described), or member of the governing body</w:t>
      </w:r>
      <w:r w:rsidR="00DD2B51" w:rsidRPr="00D525A4">
        <w:t>,</w:t>
      </w:r>
      <w:r w:rsidR="00A075D9" w:rsidRPr="00D525A4">
        <w:t xml:space="preserve"> of a government body of a State or Territory, </w:t>
      </w:r>
      <w:r w:rsidR="008C2287" w:rsidRPr="00D525A4">
        <w:t xml:space="preserve">if </w:t>
      </w:r>
      <w:r w:rsidR="0095688A" w:rsidRPr="00D525A4">
        <w:t>a</w:t>
      </w:r>
      <w:r w:rsidR="00C55D8F" w:rsidRPr="00D525A4">
        <w:t xml:space="preserve"> </w:t>
      </w:r>
      <w:r w:rsidR="00F25E73" w:rsidRPr="00D525A4">
        <w:t xml:space="preserve">commission or </w:t>
      </w:r>
      <w:r w:rsidR="00C55D8F" w:rsidRPr="00D525A4">
        <w:t>commissioner</w:t>
      </w:r>
      <w:r w:rsidR="0095688A" w:rsidRPr="00D525A4">
        <w:t xml:space="preserve"> of the State or Territory has</w:t>
      </w:r>
      <w:r w:rsidR="004B3B4E" w:rsidRPr="00D525A4">
        <w:t xml:space="preserve"> functions relating to </w:t>
      </w:r>
      <w:r w:rsidR="00F25E73" w:rsidRPr="00D525A4">
        <w:t xml:space="preserve">the investigation of </w:t>
      </w:r>
      <w:r w:rsidR="004B3B4E" w:rsidRPr="00D525A4">
        <w:t xml:space="preserve">corruption or </w:t>
      </w:r>
      <w:r w:rsidR="00F25E73" w:rsidRPr="00D525A4">
        <w:t xml:space="preserve">other </w:t>
      </w:r>
      <w:r w:rsidR="004B3B4E" w:rsidRPr="00D525A4">
        <w:t xml:space="preserve">integrity issues </w:t>
      </w:r>
      <w:r w:rsidR="0067741F" w:rsidRPr="00D525A4">
        <w:t>involving staff</w:t>
      </w:r>
      <w:r w:rsidR="00FA5CD8" w:rsidRPr="00D525A4">
        <w:t xml:space="preserve"> </w:t>
      </w:r>
      <w:r w:rsidR="0067741F" w:rsidRPr="00D525A4">
        <w:t xml:space="preserve">of the </w:t>
      </w:r>
      <w:r w:rsidR="00EA2194" w:rsidRPr="00D525A4">
        <w:t xml:space="preserve">government </w:t>
      </w:r>
      <w:r w:rsidR="0067741F" w:rsidRPr="00D525A4">
        <w:t>body</w:t>
      </w:r>
      <w:r w:rsidR="00EE31FA" w:rsidRPr="00D525A4">
        <w:t>;</w:t>
      </w:r>
    </w:p>
    <w:p w14:paraId="62067326" w14:textId="40442BAE" w:rsidR="00C76F51" w:rsidRPr="00D525A4" w:rsidRDefault="00C76F51" w:rsidP="004827B7">
      <w:pPr>
        <w:pStyle w:val="paragraph"/>
      </w:pPr>
      <w:r w:rsidRPr="00D525A4">
        <w:lastRenderedPageBreak/>
        <w:tab/>
        <w:t>(</w:t>
      </w:r>
      <w:r w:rsidR="00EE31FA" w:rsidRPr="00D525A4">
        <w:t>l</w:t>
      </w:r>
      <w:r w:rsidRPr="00D525A4">
        <w:t>)</w:t>
      </w:r>
      <w:r w:rsidRPr="00D525A4">
        <w:tab/>
        <w:t>Chief of the Defence Force, Vice Chief of the Defence Force, Chief of Navy, Chief of Army or Chief of Air Force;</w:t>
      </w:r>
    </w:p>
    <w:p w14:paraId="2C7C5412" w14:textId="1CD0D62D" w:rsidR="004827B7" w:rsidRPr="00D525A4" w:rsidRDefault="00C76F51" w:rsidP="004827B7">
      <w:pPr>
        <w:pStyle w:val="paragraph"/>
      </w:pPr>
      <w:r w:rsidRPr="00D525A4">
        <w:rPr>
          <w:i/>
        </w:rPr>
        <w:tab/>
      </w:r>
      <w:r w:rsidRPr="00D525A4">
        <w:t>(</w:t>
      </w:r>
      <w:r w:rsidR="00EE31FA" w:rsidRPr="00D525A4">
        <w:t>m</w:t>
      </w:r>
      <w:r w:rsidRPr="00D525A4">
        <w:t>)</w:t>
      </w:r>
      <w:r w:rsidRPr="00D525A4">
        <w:tab/>
      </w:r>
      <w:r w:rsidR="004D58EA" w:rsidRPr="00D525A4">
        <w:t xml:space="preserve">officer of the Navy </w:t>
      </w:r>
      <w:r w:rsidR="00EA6F60" w:rsidRPr="00D525A4">
        <w:t>of</w:t>
      </w:r>
      <w:r w:rsidR="004D58EA" w:rsidRPr="00D525A4">
        <w:t xml:space="preserve"> the rank </w:t>
      </w:r>
      <w:r w:rsidR="00317F01" w:rsidRPr="00D525A4">
        <w:t xml:space="preserve">of </w:t>
      </w:r>
      <w:r w:rsidR="004D58EA" w:rsidRPr="00D525A4">
        <w:t>Vice Admiral or a higher rank</w:t>
      </w:r>
      <w:r w:rsidR="004827B7" w:rsidRPr="00D525A4">
        <w:t>;</w:t>
      </w:r>
    </w:p>
    <w:p w14:paraId="38B1F328" w14:textId="00BF65C5" w:rsidR="004827B7" w:rsidRPr="00D525A4" w:rsidRDefault="004827B7" w:rsidP="004827B7">
      <w:pPr>
        <w:pStyle w:val="paragraph"/>
      </w:pPr>
      <w:r w:rsidRPr="00D525A4">
        <w:tab/>
        <w:t>(</w:t>
      </w:r>
      <w:r w:rsidR="00EE31FA" w:rsidRPr="00D525A4">
        <w:t>n</w:t>
      </w:r>
      <w:r w:rsidRPr="00D525A4">
        <w:t>)</w:t>
      </w:r>
      <w:r w:rsidRPr="00D525A4">
        <w:tab/>
        <w:t>officer of the Army</w:t>
      </w:r>
      <w:r w:rsidR="00E20280" w:rsidRPr="00D525A4">
        <w:t xml:space="preserve"> of</w:t>
      </w:r>
      <w:r w:rsidRPr="00D525A4">
        <w:t xml:space="preserve"> the rank of Lieutenant General or a higher rank;</w:t>
      </w:r>
    </w:p>
    <w:p w14:paraId="1DCA1D5A" w14:textId="4A5FFE1C" w:rsidR="00C76F51" w:rsidRPr="00D525A4" w:rsidRDefault="004827B7" w:rsidP="008D4D00">
      <w:pPr>
        <w:pStyle w:val="paragraph"/>
      </w:pPr>
      <w:r w:rsidRPr="00D525A4">
        <w:tab/>
        <w:t>(</w:t>
      </w:r>
      <w:r w:rsidR="00EE31FA" w:rsidRPr="00D525A4">
        <w:t>o</w:t>
      </w:r>
      <w:r w:rsidRPr="00D525A4">
        <w:t>)</w:t>
      </w:r>
      <w:r w:rsidRPr="00D525A4">
        <w:tab/>
      </w:r>
      <w:r w:rsidR="004D58EA" w:rsidRPr="00D525A4">
        <w:t xml:space="preserve">officer of the Air Force </w:t>
      </w:r>
      <w:r w:rsidR="000D0650" w:rsidRPr="00D525A4">
        <w:t>of</w:t>
      </w:r>
      <w:r w:rsidR="004D58EA" w:rsidRPr="00D525A4">
        <w:t xml:space="preserve"> the rank of Air Marshal or a higher rank</w:t>
      </w:r>
      <w:r w:rsidR="00C76F51" w:rsidRPr="00D525A4">
        <w:t>;</w:t>
      </w:r>
    </w:p>
    <w:p w14:paraId="69E45184" w14:textId="5E521BF1" w:rsidR="00A075D9" w:rsidRPr="00D525A4" w:rsidRDefault="00A075D9" w:rsidP="00A075D9">
      <w:pPr>
        <w:pStyle w:val="paragraph"/>
      </w:pPr>
      <w:r w:rsidRPr="00D525A4">
        <w:tab/>
        <w:t>(</w:t>
      </w:r>
      <w:r w:rsidR="00EE31FA" w:rsidRPr="00D525A4">
        <w:t>p</w:t>
      </w:r>
      <w:r w:rsidRPr="00D525A4">
        <w:t>)</w:t>
      </w:r>
      <w:r w:rsidRPr="00D525A4">
        <w:tab/>
        <w:t>any of the following offices of the Commonwealth in a foreign country</w:t>
      </w:r>
      <w:r w:rsidR="00BE0F18" w:rsidRPr="00D525A4">
        <w:t>, or to a public international organisation,</w:t>
      </w:r>
      <w:r w:rsidRPr="00D525A4">
        <w:t xml:space="preserve"> to which appointments are made by the Governor</w:t>
      </w:r>
      <w:r w:rsidR="00D525A4">
        <w:noBreakHyphen/>
      </w:r>
      <w:r w:rsidRPr="00D525A4">
        <w:t>General:</w:t>
      </w:r>
    </w:p>
    <w:p w14:paraId="7718148F" w14:textId="77777777" w:rsidR="00A075D9" w:rsidRPr="00D525A4" w:rsidRDefault="00A075D9" w:rsidP="00A075D9">
      <w:pPr>
        <w:pStyle w:val="paragraphsub"/>
      </w:pPr>
      <w:r w:rsidRPr="00D525A4">
        <w:tab/>
        <w:t>(i)</w:t>
      </w:r>
      <w:r w:rsidRPr="00D525A4">
        <w:tab/>
        <w:t>Ambassador;</w:t>
      </w:r>
    </w:p>
    <w:p w14:paraId="71D9A975" w14:textId="77777777" w:rsidR="00A075D9" w:rsidRPr="00D525A4" w:rsidRDefault="00A075D9" w:rsidP="00A075D9">
      <w:pPr>
        <w:pStyle w:val="paragraphsub"/>
      </w:pPr>
      <w:r w:rsidRPr="00D525A4">
        <w:tab/>
        <w:t>(ii)</w:t>
      </w:r>
      <w:r w:rsidRPr="00D525A4">
        <w:tab/>
        <w:t>High Commissioner;</w:t>
      </w:r>
    </w:p>
    <w:p w14:paraId="4646E2EB" w14:textId="150F184F" w:rsidR="00A075D9" w:rsidRPr="00D525A4" w:rsidRDefault="00A075D9" w:rsidP="00A075D9">
      <w:pPr>
        <w:pStyle w:val="paragraphsub"/>
      </w:pPr>
      <w:r w:rsidRPr="00D525A4">
        <w:tab/>
        <w:t>(iii)</w:t>
      </w:r>
      <w:r w:rsidRPr="00D525A4">
        <w:tab/>
        <w:t>Consul</w:t>
      </w:r>
      <w:r w:rsidR="00D525A4">
        <w:noBreakHyphen/>
      </w:r>
      <w:r w:rsidRPr="00D525A4">
        <w:t>General;</w:t>
      </w:r>
    </w:p>
    <w:p w14:paraId="287C1D20" w14:textId="77777777" w:rsidR="00A075D9" w:rsidRPr="00D525A4" w:rsidRDefault="00A075D9" w:rsidP="00A075D9">
      <w:pPr>
        <w:pStyle w:val="paragraphsub"/>
      </w:pPr>
      <w:r w:rsidRPr="00D525A4">
        <w:tab/>
        <w:t>(iv)</w:t>
      </w:r>
      <w:r w:rsidRPr="00D525A4">
        <w:tab/>
        <w:t>Australian Representative;</w:t>
      </w:r>
    </w:p>
    <w:p w14:paraId="3C76209A" w14:textId="77777777" w:rsidR="00A075D9" w:rsidRPr="00D525A4" w:rsidRDefault="00A075D9" w:rsidP="00A075D9">
      <w:pPr>
        <w:pStyle w:val="paragraphsub"/>
      </w:pPr>
      <w:r w:rsidRPr="00D525A4">
        <w:tab/>
        <w:t>(v)</w:t>
      </w:r>
      <w:r w:rsidRPr="00D525A4">
        <w:tab/>
        <w:t>Special Representative;</w:t>
      </w:r>
    </w:p>
    <w:p w14:paraId="1ACD94D5" w14:textId="77777777" w:rsidR="00A075D9" w:rsidRPr="00D525A4" w:rsidRDefault="00A075D9" w:rsidP="00A075D9">
      <w:pPr>
        <w:pStyle w:val="paragraphsub"/>
      </w:pPr>
      <w:r w:rsidRPr="00D525A4">
        <w:tab/>
        <w:t>(vi)</w:t>
      </w:r>
      <w:r w:rsidRPr="00D525A4">
        <w:tab/>
        <w:t>Representative;</w:t>
      </w:r>
    </w:p>
    <w:p w14:paraId="781E8D52" w14:textId="30A96781" w:rsidR="00BE0F18" w:rsidRPr="00D525A4" w:rsidRDefault="00BE0F18" w:rsidP="00A075D9">
      <w:pPr>
        <w:pStyle w:val="paragraphsub"/>
      </w:pPr>
      <w:r w:rsidRPr="00D525A4">
        <w:tab/>
        <w:t>(vii)</w:t>
      </w:r>
      <w:r w:rsidRPr="00D525A4">
        <w:tab/>
        <w:t>Permanent Representative;</w:t>
      </w:r>
    </w:p>
    <w:p w14:paraId="1AE0037C" w14:textId="79AB920D" w:rsidR="00A075D9" w:rsidRPr="00D525A4" w:rsidRDefault="00A075D9" w:rsidP="00BE0F18">
      <w:pPr>
        <w:pStyle w:val="paragraphsub"/>
      </w:pPr>
      <w:r w:rsidRPr="00D525A4">
        <w:tab/>
        <w:t>(vii</w:t>
      </w:r>
      <w:r w:rsidR="00BE0F18" w:rsidRPr="00D525A4">
        <w:t>i</w:t>
      </w:r>
      <w:r w:rsidRPr="00D525A4">
        <w:t>)</w:t>
      </w:r>
      <w:r w:rsidRPr="00D525A4">
        <w:tab/>
        <w:t>Chargé d’Affaires;</w:t>
      </w:r>
    </w:p>
    <w:p w14:paraId="2D4FF0E6" w14:textId="1AB85111" w:rsidR="00EE31FA" w:rsidRPr="00D525A4" w:rsidRDefault="006B6A99" w:rsidP="00BE0F18">
      <w:pPr>
        <w:pStyle w:val="paragraph"/>
      </w:pPr>
      <w:r w:rsidRPr="00D525A4">
        <w:tab/>
        <w:t>(</w:t>
      </w:r>
      <w:r w:rsidR="00BE0F18" w:rsidRPr="00D525A4">
        <w:t>q</w:t>
      </w:r>
      <w:r w:rsidRPr="00D525A4">
        <w:t>)</w:t>
      </w:r>
      <w:r w:rsidRPr="00D525A4">
        <w:tab/>
        <w:t>member of the governing body of a political party represented in the legislature of the Commonwealth or a State or Territory</w:t>
      </w:r>
      <w:r w:rsidR="000001A4" w:rsidRPr="00D525A4">
        <w:t>.</w:t>
      </w:r>
    </w:p>
    <w:p w14:paraId="17D3B2E6" w14:textId="17C9B938" w:rsidR="004471E0" w:rsidRPr="00D525A4" w:rsidRDefault="00EC097E" w:rsidP="004471E0">
      <w:pPr>
        <w:pStyle w:val="ActHead5"/>
      </w:pPr>
      <w:bookmarkStart w:id="10" w:name="_Toc198224902"/>
      <w:r w:rsidRPr="00D525A4">
        <w:rPr>
          <w:rStyle w:val="CharSectno"/>
        </w:rPr>
        <w:t>1</w:t>
      </w:r>
      <w:r w:rsidR="00D525A4">
        <w:rPr>
          <w:rStyle w:val="CharSectno"/>
        </w:rPr>
        <w:noBreakHyphen/>
      </w:r>
      <w:r w:rsidRPr="00D525A4">
        <w:rPr>
          <w:rStyle w:val="CharSectno"/>
        </w:rPr>
        <w:t>6</w:t>
      </w:r>
      <w:r w:rsidR="004471E0" w:rsidRPr="00D525A4">
        <w:t xml:space="preserve">  Enrolment details</w:t>
      </w:r>
      <w:bookmarkEnd w:id="10"/>
    </w:p>
    <w:p w14:paraId="2F82CF26" w14:textId="563F2D3A" w:rsidR="004471E0" w:rsidRPr="00D525A4" w:rsidRDefault="004471E0" w:rsidP="004471E0">
      <w:pPr>
        <w:pStyle w:val="subsection"/>
      </w:pPr>
      <w:r w:rsidRPr="00D525A4">
        <w:tab/>
      </w:r>
      <w:r w:rsidRPr="00D525A4">
        <w:tab/>
        <w:t xml:space="preserve">For the purposes of the definition of </w:t>
      </w:r>
      <w:r w:rsidRPr="00D525A4">
        <w:rPr>
          <w:b/>
          <w:bCs/>
          <w:i/>
          <w:iCs/>
        </w:rPr>
        <w:t xml:space="preserve">enrolment details </w:t>
      </w:r>
      <w:r w:rsidRPr="00D525A4">
        <w:t xml:space="preserve">in </w:t>
      </w:r>
      <w:r w:rsidR="0013261E" w:rsidRPr="00D525A4">
        <w:t>section 5</w:t>
      </w:r>
      <w:r w:rsidRPr="00D525A4">
        <w:t xml:space="preserve"> of the Act, enrolment details in relation to a person are the information mentioned in sections </w:t>
      </w:r>
      <w:r w:rsidR="00EC097E" w:rsidRPr="00D525A4">
        <w:t>2</w:t>
      </w:r>
      <w:r w:rsidR="00D525A4">
        <w:noBreakHyphen/>
      </w:r>
      <w:r w:rsidR="00EC097E" w:rsidRPr="00D525A4">
        <w:t>2</w:t>
      </w:r>
      <w:r w:rsidRPr="00D525A4">
        <w:t xml:space="preserve"> and </w:t>
      </w:r>
      <w:r w:rsidR="00EC097E" w:rsidRPr="00D525A4">
        <w:t>2</w:t>
      </w:r>
      <w:r w:rsidR="00D525A4">
        <w:noBreakHyphen/>
      </w:r>
      <w:r w:rsidR="00EC097E" w:rsidRPr="00D525A4">
        <w:t>3</w:t>
      </w:r>
      <w:r w:rsidRPr="00D525A4">
        <w:t xml:space="preserve"> in relation to the person (as an applicant).</w:t>
      </w:r>
    </w:p>
    <w:p w14:paraId="2CDB0CE1" w14:textId="15773A9E" w:rsidR="004471E0" w:rsidRPr="00D525A4" w:rsidRDefault="004471E0" w:rsidP="00BE0F18">
      <w:pPr>
        <w:pStyle w:val="notetext"/>
      </w:pPr>
      <w:r w:rsidRPr="00D525A4">
        <w:t>Note:</w:t>
      </w:r>
      <w:r w:rsidRPr="00D525A4">
        <w:tab/>
        <w:t xml:space="preserve">Sections </w:t>
      </w:r>
      <w:r w:rsidR="00EC097E" w:rsidRPr="00D525A4">
        <w:t>2</w:t>
      </w:r>
      <w:r w:rsidR="00D525A4">
        <w:noBreakHyphen/>
      </w:r>
      <w:r w:rsidR="00EC097E" w:rsidRPr="00D525A4">
        <w:t>2</w:t>
      </w:r>
      <w:r w:rsidRPr="00D525A4">
        <w:t xml:space="preserve"> and </w:t>
      </w:r>
      <w:r w:rsidR="00EC097E" w:rsidRPr="00D525A4">
        <w:t>2</w:t>
      </w:r>
      <w:r w:rsidR="00D525A4">
        <w:noBreakHyphen/>
      </w:r>
      <w:r w:rsidR="00EC097E" w:rsidRPr="00D525A4">
        <w:t>3</w:t>
      </w:r>
      <w:r w:rsidRPr="00D525A4">
        <w:t xml:space="preserve"> set out the information that is required to be contained in an enrolment application regarding the applicant and its designated services.</w:t>
      </w:r>
    </w:p>
    <w:p w14:paraId="3E327B92" w14:textId="1A1084EF" w:rsidR="006139EC" w:rsidRPr="00D525A4" w:rsidRDefault="00EC097E" w:rsidP="006139EC">
      <w:pPr>
        <w:pStyle w:val="ActHead5"/>
      </w:pPr>
      <w:bookmarkStart w:id="11" w:name="_Toc198224903"/>
      <w:r w:rsidRPr="00D525A4">
        <w:rPr>
          <w:rStyle w:val="CharSectno"/>
        </w:rPr>
        <w:t>1</w:t>
      </w:r>
      <w:r w:rsidR="00D525A4">
        <w:rPr>
          <w:rStyle w:val="CharSectno"/>
        </w:rPr>
        <w:noBreakHyphen/>
      </w:r>
      <w:r w:rsidRPr="00D525A4">
        <w:rPr>
          <w:rStyle w:val="CharSectno"/>
        </w:rPr>
        <w:t>7</w:t>
      </w:r>
      <w:r w:rsidR="006139EC" w:rsidRPr="00D525A4">
        <w:t xml:space="preserve">  Registrable details</w:t>
      </w:r>
      <w:bookmarkEnd w:id="11"/>
    </w:p>
    <w:p w14:paraId="31BB745F" w14:textId="267D6714" w:rsidR="006139EC" w:rsidRPr="00D525A4" w:rsidRDefault="006139EC" w:rsidP="006139EC">
      <w:pPr>
        <w:pStyle w:val="subsection"/>
      </w:pPr>
      <w:r w:rsidRPr="00D525A4">
        <w:tab/>
      </w:r>
      <w:r w:rsidRPr="00D525A4">
        <w:tab/>
        <w:t xml:space="preserve">For the purposes of the definition of </w:t>
      </w:r>
      <w:r w:rsidRPr="00D525A4">
        <w:rPr>
          <w:b/>
          <w:bCs/>
          <w:i/>
          <w:iCs/>
        </w:rPr>
        <w:t>registrable details</w:t>
      </w:r>
      <w:r w:rsidRPr="00D525A4">
        <w:t xml:space="preserve"> in </w:t>
      </w:r>
      <w:r w:rsidR="0013261E" w:rsidRPr="00D525A4">
        <w:t>section 5</w:t>
      </w:r>
      <w:r w:rsidRPr="00D525A4">
        <w:t xml:space="preserve"> of the Act, the following are the </w:t>
      </w:r>
      <w:r w:rsidRPr="00D525A4">
        <w:rPr>
          <w:b/>
          <w:bCs/>
          <w:i/>
          <w:iCs/>
        </w:rPr>
        <w:t>registrable details</w:t>
      </w:r>
      <w:r w:rsidRPr="00D525A4">
        <w:t xml:space="preserve"> in relation to a person registered under </w:t>
      </w:r>
      <w:r w:rsidR="0013261E" w:rsidRPr="00D525A4">
        <w:t>Part 6</w:t>
      </w:r>
      <w:r w:rsidRPr="00D525A4">
        <w:t xml:space="preserve"> or 6A of the Act (which deal with the Remittance Sector Register and the Virtual Asset Service Provider Register):</w:t>
      </w:r>
    </w:p>
    <w:p w14:paraId="7F6C1C4D" w14:textId="77777777" w:rsidR="006139EC" w:rsidRPr="00D525A4" w:rsidRDefault="006139EC" w:rsidP="006139EC">
      <w:pPr>
        <w:pStyle w:val="paragraph"/>
      </w:pPr>
      <w:r w:rsidRPr="00D525A4">
        <w:tab/>
        <w:t>(a)</w:t>
      </w:r>
      <w:r w:rsidRPr="00D525A4">
        <w:tab/>
        <w:t>the full name of the person;</w:t>
      </w:r>
    </w:p>
    <w:p w14:paraId="7186B439" w14:textId="77777777" w:rsidR="006139EC" w:rsidRPr="00D525A4" w:rsidRDefault="006139EC" w:rsidP="006139EC">
      <w:pPr>
        <w:pStyle w:val="paragraph"/>
      </w:pPr>
      <w:r w:rsidRPr="00D525A4">
        <w:tab/>
        <w:t>(b)</w:t>
      </w:r>
      <w:r w:rsidRPr="00D525A4">
        <w:tab/>
        <w:t>any other names of the person under which the person provides or will provide its registrable services;</w:t>
      </w:r>
    </w:p>
    <w:p w14:paraId="57BCF175" w14:textId="77777777" w:rsidR="006139EC" w:rsidRPr="00D525A4" w:rsidRDefault="006139EC" w:rsidP="006139EC">
      <w:pPr>
        <w:pStyle w:val="paragraph"/>
      </w:pPr>
      <w:r w:rsidRPr="00D525A4">
        <w:tab/>
        <w:t>(c)</w:t>
      </w:r>
      <w:r w:rsidRPr="00D525A4">
        <w:tab/>
        <w:t>the person’s ABN, ACN, ARBN and ARSN (as applicable);</w:t>
      </w:r>
    </w:p>
    <w:p w14:paraId="0687EE00" w14:textId="74E4CB74" w:rsidR="006139EC" w:rsidRPr="00D525A4" w:rsidRDefault="006139EC" w:rsidP="006139EC">
      <w:pPr>
        <w:pStyle w:val="paragraph"/>
      </w:pPr>
      <w:r w:rsidRPr="00D525A4">
        <w:tab/>
        <w:t>(d)</w:t>
      </w:r>
      <w:r w:rsidRPr="00D525A4">
        <w:tab/>
        <w:t>a unique identifier for the person (if any) given by an organisation accredited by the Global Legal Entity Identification Foundation;</w:t>
      </w:r>
    </w:p>
    <w:p w14:paraId="27C216F8" w14:textId="77777777" w:rsidR="006139EC" w:rsidRPr="00D525A4" w:rsidRDefault="006139EC" w:rsidP="006139EC">
      <w:pPr>
        <w:pStyle w:val="paragraph"/>
      </w:pPr>
      <w:r w:rsidRPr="00D525A4">
        <w:tab/>
        <w:t>(e)</w:t>
      </w:r>
      <w:r w:rsidRPr="00D525A4">
        <w:tab/>
        <w:t>the address of the principal place of business of the person in Australia (if applicable);</w:t>
      </w:r>
    </w:p>
    <w:p w14:paraId="5BF7FEEF" w14:textId="77777777" w:rsidR="006139EC" w:rsidRPr="00D525A4" w:rsidRDefault="006139EC" w:rsidP="006139EC">
      <w:pPr>
        <w:pStyle w:val="paragraph"/>
      </w:pPr>
      <w:r w:rsidRPr="00D525A4">
        <w:tab/>
        <w:t>(f)</w:t>
      </w:r>
      <w:r w:rsidRPr="00D525A4">
        <w:tab/>
        <w:t>the domain names for all websites through which the person provides or will provide its registrable services.</w:t>
      </w:r>
    </w:p>
    <w:p w14:paraId="1647B39C" w14:textId="21AD2559" w:rsidR="009B02AB" w:rsidRPr="00D525A4" w:rsidRDefault="00EC097E" w:rsidP="00596AB4">
      <w:pPr>
        <w:pStyle w:val="ActHead5"/>
      </w:pPr>
      <w:bookmarkStart w:id="12" w:name="_Toc198224904"/>
      <w:r w:rsidRPr="00D525A4">
        <w:rPr>
          <w:rStyle w:val="CharSectno"/>
        </w:rPr>
        <w:lastRenderedPageBreak/>
        <w:t>1</w:t>
      </w:r>
      <w:r w:rsidR="00D525A4">
        <w:rPr>
          <w:rStyle w:val="CharSectno"/>
        </w:rPr>
        <w:noBreakHyphen/>
      </w:r>
      <w:r w:rsidRPr="00D525A4">
        <w:rPr>
          <w:rStyle w:val="CharSectno"/>
        </w:rPr>
        <w:t>8</w:t>
      </w:r>
      <w:r w:rsidR="009B02AB" w:rsidRPr="00D525A4">
        <w:t xml:space="preserve">  Transfer of value</w:t>
      </w:r>
      <w:r w:rsidR="00E12BD7" w:rsidRPr="00D525A4">
        <w:t>—excluded transfers</w:t>
      </w:r>
      <w:bookmarkEnd w:id="12"/>
    </w:p>
    <w:p w14:paraId="57E01A9C" w14:textId="7CDB40A5" w:rsidR="009B02AB" w:rsidRPr="00D525A4" w:rsidRDefault="009B02AB" w:rsidP="009B02AB">
      <w:pPr>
        <w:pStyle w:val="subsection"/>
      </w:pPr>
      <w:r w:rsidRPr="00D525A4">
        <w:tab/>
      </w:r>
      <w:r w:rsidR="005F7F46" w:rsidRPr="00D525A4">
        <w:t>(1)</w:t>
      </w:r>
      <w:r w:rsidRPr="00D525A4">
        <w:tab/>
        <w:t xml:space="preserve">For the purposes of </w:t>
      </w:r>
      <w:r w:rsidR="009F59ED" w:rsidRPr="00D525A4">
        <w:t>paragraph (</w:t>
      </w:r>
      <w:r w:rsidRPr="00D525A4">
        <w:t xml:space="preserve">b) of the definition of </w:t>
      </w:r>
      <w:r w:rsidRPr="00D525A4">
        <w:rPr>
          <w:b/>
          <w:bCs/>
          <w:i/>
          <w:iCs/>
        </w:rPr>
        <w:t>transfer of value</w:t>
      </w:r>
      <w:r w:rsidRPr="00D525A4">
        <w:t xml:space="preserve"> in </w:t>
      </w:r>
      <w:r w:rsidR="0013261E" w:rsidRPr="00D525A4">
        <w:t>section 5</w:t>
      </w:r>
      <w:r w:rsidRPr="00D525A4">
        <w:t xml:space="preserve"> of the Act, </w:t>
      </w:r>
      <w:r w:rsidR="00312E84" w:rsidRPr="00D525A4">
        <w:t>a transfer</w:t>
      </w:r>
      <w:r w:rsidRPr="00D525A4">
        <w:t xml:space="preserve"> </w:t>
      </w:r>
      <w:r w:rsidR="00DA7ED7" w:rsidRPr="00D525A4">
        <w:t xml:space="preserve">covered by </w:t>
      </w:r>
      <w:r w:rsidR="009F59ED" w:rsidRPr="00D525A4">
        <w:t>subsection (</w:t>
      </w:r>
      <w:r w:rsidR="00DA7ED7" w:rsidRPr="00D525A4">
        <w:t xml:space="preserve">2) </w:t>
      </w:r>
      <w:r w:rsidR="00312E84" w:rsidRPr="00D525A4">
        <w:t>or</w:t>
      </w:r>
      <w:r w:rsidR="00DA7ED7" w:rsidRPr="00D525A4">
        <w:t xml:space="preserve"> (3) of this section </w:t>
      </w:r>
      <w:r w:rsidR="00312E84" w:rsidRPr="00D525A4">
        <w:t>is</w:t>
      </w:r>
      <w:r w:rsidRPr="00D525A4">
        <w:t xml:space="preserve"> specified</w:t>
      </w:r>
      <w:r w:rsidR="00DA7ED7" w:rsidRPr="00D525A4">
        <w:t>.</w:t>
      </w:r>
    </w:p>
    <w:p w14:paraId="61D33EDF" w14:textId="349BBE2C" w:rsidR="009B02AB" w:rsidRPr="00D525A4" w:rsidRDefault="00DA7ED7" w:rsidP="00DA7ED7">
      <w:pPr>
        <w:pStyle w:val="subsection"/>
      </w:pPr>
      <w:r w:rsidRPr="00D525A4">
        <w:tab/>
        <w:t>(2)</w:t>
      </w:r>
      <w:r w:rsidRPr="00D525A4">
        <w:tab/>
        <w:t>This subsection covers a</w:t>
      </w:r>
      <w:r w:rsidR="00BF4DE9" w:rsidRPr="00D525A4">
        <w:t xml:space="preserve"> transfer of </w:t>
      </w:r>
      <w:r w:rsidR="005F7F46" w:rsidRPr="00D525A4">
        <w:t>a</w:t>
      </w:r>
      <w:r w:rsidR="00BF4DE9" w:rsidRPr="00D525A4">
        <w:t xml:space="preserve"> security or derivative</w:t>
      </w:r>
      <w:r w:rsidR="005F7F46" w:rsidRPr="00D525A4">
        <w:t xml:space="preserve"> that is not a virtual asset</w:t>
      </w:r>
      <w:r w:rsidRPr="00D525A4">
        <w:t>.</w:t>
      </w:r>
    </w:p>
    <w:p w14:paraId="36CC0A21" w14:textId="620201B7" w:rsidR="00DA7ED7" w:rsidRPr="00D525A4" w:rsidRDefault="00DA7ED7" w:rsidP="00DA7ED7">
      <w:pPr>
        <w:pStyle w:val="subsection"/>
      </w:pPr>
      <w:r w:rsidRPr="00D525A4">
        <w:tab/>
        <w:t>(3)</w:t>
      </w:r>
      <w:r w:rsidRPr="00D525A4">
        <w:tab/>
        <w:t>This subsection covers a transfer of money i</w:t>
      </w:r>
      <w:r w:rsidR="00BB5B93" w:rsidRPr="00D525A4">
        <w:t>f</w:t>
      </w:r>
      <w:r w:rsidRPr="00D525A4">
        <w:t>:</w:t>
      </w:r>
    </w:p>
    <w:p w14:paraId="60DBE356" w14:textId="7A5365C6" w:rsidR="00015586" w:rsidRPr="00D525A4" w:rsidRDefault="00DA7ED7" w:rsidP="00DA7ED7">
      <w:pPr>
        <w:pStyle w:val="paragraph"/>
      </w:pPr>
      <w:r w:rsidRPr="00D525A4">
        <w:tab/>
        <w:t>(a)</w:t>
      </w:r>
      <w:r w:rsidRPr="00D525A4">
        <w:tab/>
        <w:t xml:space="preserve">the transfer occurs in the course of a person performing administrative services for </w:t>
      </w:r>
      <w:r w:rsidR="00015586" w:rsidRPr="00D525A4">
        <w:t xml:space="preserve">a </w:t>
      </w:r>
      <w:r w:rsidR="005B1D04" w:rsidRPr="00D525A4">
        <w:t>client</w:t>
      </w:r>
      <w:r w:rsidR="00015586" w:rsidRPr="00D525A4">
        <w:t xml:space="preserve"> of the person that is an employer; and</w:t>
      </w:r>
    </w:p>
    <w:p w14:paraId="6E27684D" w14:textId="7F769F8E" w:rsidR="00DA7ED7" w:rsidRPr="00D525A4" w:rsidRDefault="00015586" w:rsidP="00DA7ED7">
      <w:pPr>
        <w:pStyle w:val="paragraph"/>
      </w:pPr>
      <w:r w:rsidRPr="00D525A4">
        <w:tab/>
        <w:t>(b)</w:t>
      </w:r>
      <w:r w:rsidRPr="00D525A4">
        <w:tab/>
        <w:t xml:space="preserve">the </w:t>
      </w:r>
      <w:r w:rsidR="00472B9C" w:rsidRPr="00D525A4">
        <w:t>administrative services</w:t>
      </w:r>
      <w:r w:rsidRPr="00D525A4">
        <w:t xml:space="preserve"> relate to</w:t>
      </w:r>
      <w:r w:rsidR="00DA7ED7" w:rsidRPr="00D525A4">
        <w:t>:</w:t>
      </w:r>
    </w:p>
    <w:p w14:paraId="03703FE7" w14:textId="4060FE7B" w:rsidR="00DA7ED7" w:rsidRPr="00D525A4" w:rsidRDefault="00DA7ED7" w:rsidP="00DA7ED7">
      <w:pPr>
        <w:pStyle w:val="paragraphsub"/>
      </w:pPr>
      <w:r w:rsidRPr="00D525A4">
        <w:tab/>
        <w:t>(i)</w:t>
      </w:r>
      <w:r w:rsidRPr="00D525A4">
        <w:tab/>
      </w:r>
      <w:r w:rsidR="00015586" w:rsidRPr="00D525A4">
        <w:t>payments,</w:t>
      </w:r>
      <w:r w:rsidRPr="00D525A4">
        <w:t xml:space="preserve"> </w:t>
      </w:r>
      <w:r w:rsidR="00015586" w:rsidRPr="00D525A4">
        <w:t xml:space="preserve">on behalf of the employer, </w:t>
      </w:r>
      <w:r w:rsidRPr="00D525A4">
        <w:t xml:space="preserve">of salary, wages </w:t>
      </w:r>
      <w:r w:rsidR="00015586" w:rsidRPr="00D525A4">
        <w:t>or</w:t>
      </w:r>
      <w:r w:rsidRPr="00D525A4">
        <w:t xml:space="preserve"> other benefits to</w:t>
      </w:r>
      <w:r w:rsidR="00015586" w:rsidRPr="00D525A4">
        <w:t xml:space="preserve"> its employees</w:t>
      </w:r>
      <w:r w:rsidR="00964EFE" w:rsidRPr="00D525A4">
        <w:t>; or</w:t>
      </w:r>
    </w:p>
    <w:p w14:paraId="365F3588" w14:textId="7D825F26" w:rsidR="00964EFE" w:rsidRPr="00D525A4" w:rsidRDefault="00964EFE" w:rsidP="00DA7ED7">
      <w:pPr>
        <w:pStyle w:val="paragraphsub"/>
      </w:pPr>
      <w:r w:rsidRPr="00D525A4">
        <w:tab/>
        <w:t>(ii)</w:t>
      </w:r>
      <w:r w:rsidRPr="00D525A4">
        <w:tab/>
      </w:r>
      <w:r w:rsidR="00015586" w:rsidRPr="00D525A4">
        <w:t>arrangements</w:t>
      </w:r>
      <w:r w:rsidR="00F23297" w:rsidRPr="00D525A4">
        <w:t xml:space="preserve"> between </w:t>
      </w:r>
      <w:r w:rsidR="00015586" w:rsidRPr="00D525A4">
        <w:t>the</w:t>
      </w:r>
      <w:r w:rsidR="00F23297" w:rsidRPr="00D525A4">
        <w:t xml:space="preserve"> employer and </w:t>
      </w:r>
      <w:r w:rsidR="00015586" w:rsidRPr="00D525A4">
        <w:t>its employees</w:t>
      </w:r>
      <w:r w:rsidR="00F23297" w:rsidRPr="00D525A4">
        <w:t xml:space="preserve"> under which</w:t>
      </w:r>
      <w:r w:rsidR="00015586" w:rsidRPr="00D525A4">
        <w:t xml:space="preserve"> </w:t>
      </w:r>
      <w:r w:rsidR="00F23297" w:rsidRPr="00D525A4">
        <w:t>employee</w:t>
      </w:r>
      <w:r w:rsidR="00015586" w:rsidRPr="00D525A4">
        <w:t>s</w:t>
      </w:r>
      <w:r w:rsidR="00F23297" w:rsidRPr="00D525A4">
        <w:t xml:space="preserve"> </w:t>
      </w:r>
      <w:r w:rsidR="00015586" w:rsidRPr="00D525A4">
        <w:t>forgo amounts of</w:t>
      </w:r>
      <w:r w:rsidR="00F23297" w:rsidRPr="00D525A4">
        <w:t xml:space="preserve"> salary or wages in return for benefits of a similar cost</w:t>
      </w:r>
      <w:r w:rsidR="00FE0D71" w:rsidRPr="00D525A4">
        <w:t>; or</w:t>
      </w:r>
    </w:p>
    <w:p w14:paraId="326AD758" w14:textId="6B76C936" w:rsidR="00FE0D71" w:rsidRPr="00D525A4" w:rsidRDefault="00FE0D71" w:rsidP="00DA7ED7">
      <w:pPr>
        <w:pStyle w:val="paragraphsub"/>
      </w:pPr>
      <w:r w:rsidRPr="00D525A4">
        <w:tab/>
        <w:t>(iii)</w:t>
      </w:r>
      <w:r w:rsidRPr="00D525A4">
        <w:tab/>
      </w:r>
      <w:r w:rsidR="00015586" w:rsidRPr="00D525A4">
        <w:t>payments, on behalf of the employer, of superannuation contributions for its employees; and</w:t>
      </w:r>
    </w:p>
    <w:p w14:paraId="18EA1BA1" w14:textId="548E91B1" w:rsidR="005F7F46" w:rsidRPr="00D525A4" w:rsidRDefault="005F7F46" w:rsidP="00015586">
      <w:pPr>
        <w:pStyle w:val="paragraph"/>
      </w:pPr>
      <w:r w:rsidRPr="00D525A4">
        <w:tab/>
        <w:t>(</w:t>
      </w:r>
      <w:r w:rsidR="00015586" w:rsidRPr="00D525A4">
        <w:t>c</w:t>
      </w:r>
      <w:r w:rsidRPr="00D525A4">
        <w:t>)</w:t>
      </w:r>
      <w:r w:rsidRPr="00D525A4">
        <w:tab/>
        <w:t>the transfer does not involve the receipt of physical currency from the payer or a person acting on behalf of the payer; and</w:t>
      </w:r>
    </w:p>
    <w:p w14:paraId="4A36C95A" w14:textId="4C65842E" w:rsidR="005F7F46" w:rsidRPr="00D525A4" w:rsidRDefault="005F7F46" w:rsidP="00015586">
      <w:pPr>
        <w:pStyle w:val="paragraph"/>
      </w:pPr>
      <w:r w:rsidRPr="00D525A4">
        <w:tab/>
        <w:t>(</w:t>
      </w:r>
      <w:r w:rsidR="00015586" w:rsidRPr="00D525A4">
        <w:t>d</w:t>
      </w:r>
      <w:r w:rsidRPr="00D525A4">
        <w:t>)</w:t>
      </w:r>
      <w:r w:rsidRPr="00D525A4">
        <w:tab/>
        <w:t>the transfer does not involve making physical currency available to the payee or to a person acting on behalf of the payee.</w:t>
      </w:r>
    </w:p>
    <w:p w14:paraId="3FE4F64D" w14:textId="20AA98DB" w:rsidR="00110F88" w:rsidRPr="00D525A4" w:rsidRDefault="00EC097E" w:rsidP="00110F88">
      <w:pPr>
        <w:pStyle w:val="ActHead5"/>
      </w:pPr>
      <w:bookmarkStart w:id="13" w:name="_Toc198224905"/>
      <w:r w:rsidRPr="00D525A4">
        <w:rPr>
          <w:rStyle w:val="CharSectno"/>
        </w:rPr>
        <w:t>1</w:t>
      </w:r>
      <w:r w:rsidR="00D525A4">
        <w:rPr>
          <w:rStyle w:val="CharSectno"/>
        </w:rPr>
        <w:noBreakHyphen/>
      </w:r>
      <w:r w:rsidRPr="00D525A4">
        <w:rPr>
          <w:rStyle w:val="CharSectno"/>
        </w:rPr>
        <w:t>9</w:t>
      </w:r>
      <w:r w:rsidR="00110F88" w:rsidRPr="00D525A4">
        <w:t xml:space="preserve">  Reporting group that is a business group</w:t>
      </w:r>
      <w:bookmarkEnd w:id="13"/>
    </w:p>
    <w:p w14:paraId="48A443F2" w14:textId="77777777" w:rsidR="00110F88" w:rsidRPr="00D525A4" w:rsidRDefault="00110F88" w:rsidP="00110F88">
      <w:pPr>
        <w:pStyle w:val="SubsectionHead"/>
      </w:pPr>
      <w:r w:rsidRPr="00D525A4">
        <w:t>Lead entity</w:t>
      </w:r>
    </w:p>
    <w:p w14:paraId="60CF7F64" w14:textId="372A3C4F" w:rsidR="00110F88" w:rsidRPr="00D525A4" w:rsidRDefault="00110F88" w:rsidP="00110F88">
      <w:pPr>
        <w:pStyle w:val="subsection"/>
      </w:pPr>
      <w:r w:rsidRPr="00D525A4">
        <w:tab/>
        <w:t>(</w:t>
      </w:r>
      <w:r w:rsidR="006D4692" w:rsidRPr="00D525A4">
        <w:t>1</w:t>
      </w:r>
      <w:r w:rsidRPr="00D525A4">
        <w:t>)</w:t>
      </w:r>
      <w:r w:rsidRPr="00D525A4">
        <w:tab/>
        <w:t xml:space="preserve">For the purposes of </w:t>
      </w:r>
      <w:r w:rsidR="0013261E" w:rsidRPr="00D525A4">
        <w:t>subsection 1</w:t>
      </w:r>
      <w:r w:rsidRPr="00D525A4">
        <w:t xml:space="preserve">0A(5) of the Act, if the members of a reporting group to which </w:t>
      </w:r>
      <w:r w:rsidR="0010391B" w:rsidRPr="00D525A4">
        <w:t>paragraph 1</w:t>
      </w:r>
      <w:r w:rsidRPr="00D525A4">
        <w:t>0A(1)(a) of the Act applies agree on a member being the lead entity and that member satisfies the following requirements, that member is the lead entity:</w:t>
      </w:r>
    </w:p>
    <w:p w14:paraId="13570F6D" w14:textId="046B312E" w:rsidR="00110F88" w:rsidRPr="00D525A4" w:rsidRDefault="00110F88" w:rsidP="00110F88">
      <w:pPr>
        <w:pStyle w:val="paragraph"/>
      </w:pPr>
      <w:r w:rsidRPr="00D525A4">
        <w:tab/>
        <w:t>(a)</w:t>
      </w:r>
      <w:r w:rsidRPr="00D525A4">
        <w:tab/>
        <w:t xml:space="preserve">the member is not </w:t>
      </w:r>
      <w:r w:rsidR="00787378" w:rsidRPr="00D525A4">
        <w:t>controlled by</w:t>
      </w:r>
      <w:r w:rsidRPr="00D525A4">
        <w:t xml:space="preserve"> another member of the reporting group that provides designated services;</w:t>
      </w:r>
    </w:p>
    <w:p w14:paraId="0DF771E3" w14:textId="77777777" w:rsidR="00110F88" w:rsidRPr="00D525A4" w:rsidRDefault="00110F88" w:rsidP="00110F88">
      <w:pPr>
        <w:pStyle w:val="paragraph"/>
      </w:pPr>
      <w:r w:rsidRPr="00D525A4">
        <w:tab/>
        <w:t>(b)</w:t>
      </w:r>
      <w:r w:rsidRPr="00D525A4">
        <w:tab/>
        <w:t>the member has the capacity to determine the outcome of decisions about the AML/CTF policies of the other members of the group;</w:t>
      </w:r>
    </w:p>
    <w:p w14:paraId="4090E2A8" w14:textId="77777777" w:rsidR="00C02FFC" w:rsidRPr="00D525A4" w:rsidRDefault="00110F88" w:rsidP="00110F88">
      <w:pPr>
        <w:pStyle w:val="paragraph"/>
      </w:pPr>
      <w:r w:rsidRPr="00D525A4">
        <w:tab/>
        <w:t>(c)</w:t>
      </w:r>
      <w:r w:rsidRPr="00D525A4">
        <w:tab/>
      </w:r>
      <w:r w:rsidR="00C02FFC" w:rsidRPr="00D525A4">
        <w:t>the member is one of the following:</w:t>
      </w:r>
    </w:p>
    <w:p w14:paraId="01C78A30" w14:textId="77777777" w:rsidR="00C02FFC" w:rsidRPr="00D525A4" w:rsidRDefault="00C02FFC" w:rsidP="00C02FFC">
      <w:pPr>
        <w:pStyle w:val="paragraphsub"/>
      </w:pPr>
      <w:r w:rsidRPr="00D525A4">
        <w:tab/>
        <w:t>(i)</w:t>
      </w:r>
      <w:r w:rsidRPr="00D525A4">
        <w:tab/>
        <w:t>a body corporate incorporated in Australia;</w:t>
      </w:r>
    </w:p>
    <w:p w14:paraId="5F0D094F" w14:textId="77777777" w:rsidR="00C02FFC" w:rsidRPr="00D525A4" w:rsidRDefault="00C02FFC" w:rsidP="00C02FFC">
      <w:pPr>
        <w:pStyle w:val="paragraphsub"/>
      </w:pPr>
      <w:r w:rsidRPr="00D525A4">
        <w:tab/>
        <w:t>(ii)</w:t>
      </w:r>
      <w:r w:rsidRPr="00D525A4">
        <w:tab/>
        <w:t xml:space="preserve">a registered foreign company within the meaning of the </w:t>
      </w:r>
      <w:r w:rsidRPr="00D525A4">
        <w:rPr>
          <w:i/>
          <w:iCs/>
        </w:rPr>
        <w:t>Corporations Act 2001</w:t>
      </w:r>
      <w:r w:rsidRPr="00D525A4">
        <w:t>;</w:t>
      </w:r>
    </w:p>
    <w:p w14:paraId="122B0C8C" w14:textId="77777777" w:rsidR="00C02FFC" w:rsidRPr="00D525A4" w:rsidRDefault="00C02FFC" w:rsidP="00C02FFC">
      <w:pPr>
        <w:pStyle w:val="paragraphsub"/>
      </w:pPr>
      <w:r w:rsidRPr="00D525A4">
        <w:tab/>
        <w:t>(iii)</w:t>
      </w:r>
      <w:r w:rsidRPr="00D525A4">
        <w:tab/>
        <w:t>a trust that has at least one trustee that is a resident of Australia;</w:t>
      </w:r>
    </w:p>
    <w:p w14:paraId="5C0FE465" w14:textId="514B6868" w:rsidR="00110F88" w:rsidRPr="00D525A4" w:rsidRDefault="00C02FFC" w:rsidP="00C02FFC">
      <w:pPr>
        <w:pStyle w:val="paragraphsub"/>
      </w:pPr>
      <w:r w:rsidRPr="00D525A4">
        <w:tab/>
        <w:t>(iv)</w:t>
      </w:r>
      <w:r w:rsidRPr="00D525A4">
        <w:tab/>
        <w:t xml:space="preserve">if the </w:t>
      </w:r>
      <w:r w:rsidR="00CF763D" w:rsidRPr="00D525A4">
        <w:t>member</w:t>
      </w:r>
      <w:r w:rsidRPr="00D525A4">
        <w:t xml:space="preserve"> is not a body corporate, foreign company or trust—a resident of Australia.</w:t>
      </w:r>
    </w:p>
    <w:p w14:paraId="4113CA5A" w14:textId="34B77292" w:rsidR="00611B82" w:rsidRPr="00D525A4" w:rsidRDefault="00110F88" w:rsidP="00110F88">
      <w:pPr>
        <w:pStyle w:val="subsection"/>
      </w:pPr>
      <w:r w:rsidRPr="00D525A4">
        <w:tab/>
      </w:r>
      <w:r w:rsidR="00611B82" w:rsidRPr="00D525A4">
        <w:t>(</w:t>
      </w:r>
      <w:r w:rsidR="006D4692" w:rsidRPr="00D525A4">
        <w:t>2</w:t>
      </w:r>
      <w:r w:rsidRPr="00D525A4">
        <w:t>)</w:t>
      </w:r>
      <w:r w:rsidRPr="00D525A4">
        <w:tab/>
        <w:t xml:space="preserve">If the members do not agree on a lead entity that meets the requirements in </w:t>
      </w:r>
      <w:r w:rsidR="009F59ED" w:rsidRPr="00D525A4">
        <w:t>subsection (</w:t>
      </w:r>
      <w:r w:rsidR="001E4CF4" w:rsidRPr="00D525A4">
        <w:t>1</w:t>
      </w:r>
      <w:r w:rsidRPr="00D525A4">
        <w:t>), the lead entity is</w:t>
      </w:r>
      <w:r w:rsidR="00611B82" w:rsidRPr="00D525A4">
        <w:t xml:space="preserve"> the person in the reporting group that:</w:t>
      </w:r>
    </w:p>
    <w:p w14:paraId="68DEF11F" w14:textId="0A324496" w:rsidR="00611B82" w:rsidRPr="00D525A4" w:rsidRDefault="00611B82" w:rsidP="00611B82">
      <w:pPr>
        <w:pStyle w:val="paragraph"/>
      </w:pPr>
      <w:r w:rsidRPr="00D525A4">
        <w:tab/>
        <w:t>(a)</w:t>
      </w:r>
      <w:r w:rsidRPr="00D525A4">
        <w:tab/>
        <w:t>is one of the following:</w:t>
      </w:r>
    </w:p>
    <w:p w14:paraId="69216D7B" w14:textId="55781B6F" w:rsidR="00611B82" w:rsidRPr="00D525A4" w:rsidRDefault="00611B82" w:rsidP="00611B82">
      <w:pPr>
        <w:pStyle w:val="paragraphsub"/>
      </w:pPr>
      <w:r w:rsidRPr="00D525A4">
        <w:tab/>
        <w:t>(i)</w:t>
      </w:r>
      <w:r w:rsidRPr="00D525A4">
        <w:tab/>
        <w:t>a body corporate incorporated in Australia;</w:t>
      </w:r>
    </w:p>
    <w:p w14:paraId="2212EF2A" w14:textId="3E8FAC4B" w:rsidR="00611B82" w:rsidRPr="00D525A4" w:rsidRDefault="00611B82" w:rsidP="00611B82">
      <w:pPr>
        <w:pStyle w:val="paragraphsub"/>
      </w:pPr>
      <w:r w:rsidRPr="00D525A4">
        <w:lastRenderedPageBreak/>
        <w:tab/>
        <w:t>(ii)</w:t>
      </w:r>
      <w:r w:rsidRPr="00D525A4">
        <w:tab/>
        <w:t xml:space="preserve">a registered foreign company within the meaning of the </w:t>
      </w:r>
      <w:r w:rsidRPr="00D525A4">
        <w:rPr>
          <w:i/>
          <w:iCs/>
        </w:rPr>
        <w:t>Corporations Act 2001</w:t>
      </w:r>
      <w:r w:rsidRPr="00D525A4">
        <w:t>;</w:t>
      </w:r>
    </w:p>
    <w:p w14:paraId="785321C4" w14:textId="7EEA43FA" w:rsidR="00611B82" w:rsidRPr="00D525A4" w:rsidRDefault="00611B82" w:rsidP="00611B82">
      <w:pPr>
        <w:pStyle w:val="paragraphsub"/>
      </w:pPr>
      <w:r w:rsidRPr="00D525A4">
        <w:tab/>
        <w:t>(iii)</w:t>
      </w:r>
      <w:r w:rsidRPr="00D525A4">
        <w:tab/>
        <w:t>a trust that has at least one trustee that is a resident of Australia;</w:t>
      </w:r>
    </w:p>
    <w:p w14:paraId="66B75D9C" w14:textId="4FFE7430" w:rsidR="00611B82" w:rsidRPr="00D525A4" w:rsidRDefault="00611B82" w:rsidP="00611B82">
      <w:pPr>
        <w:pStyle w:val="paragraphsub"/>
      </w:pPr>
      <w:r w:rsidRPr="00D525A4">
        <w:tab/>
        <w:t>(iv)</w:t>
      </w:r>
      <w:r w:rsidRPr="00D525A4">
        <w:tab/>
        <w:t>if the person is not a body corporate, foreign company or trust—a resident of Australia; and</w:t>
      </w:r>
    </w:p>
    <w:p w14:paraId="682F1EC6" w14:textId="7FAC753F" w:rsidR="00611B82" w:rsidRPr="00D525A4" w:rsidRDefault="00611B82" w:rsidP="00611B82">
      <w:pPr>
        <w:pStyle w:val="paragraph"/>
      </w:pPr>
      <w:r w:rsidRPr="00D525A4">
        <w:tab/>
        <w:t>(b)</w:t>
      </w:r>
      <w:r w:rsidRPr="00D525A4">
        <w:tab/>
        <w:t xml:space="preserve">of the persons </w:t>
      </w:r>
      <w:r w:rsidR="00BF2C69" w:rsidRPr="00D525A4">
        <w:t xml:space="preserve">in the group </w:t>
      </w:r>
      <w:r w:rsidRPr="00D525A4">
        <w:t xml:space="preserve">who satisfy </w:t>
      </w:r>
      <w:r w:rsidR="009F59ED" w:rsidRPr="00D525A4">
        <w:t>paragraph (</w:t>
      </w:r>
      <w:r w:rsidRPr="00D525A4">
        <w:t>a), controls the largest number of members of the group who provide a designated service.</w:t>
      </w:r>
    </w:p>
    <w:p w14:paraId="63BC1C79" w14:textId="56ABD64B" w:rsidR="00D1723F" w:rsidRPr="00D525A4" w:rsidRDefault="00110F88" w:rsidP="00110F88">
      <w:pPr>
        <w:pStyle w:val="notetext"/>
      </w:pPr>
      <w:r w:rsidRPr="00D525A4">
        <w:t>Note:</w:t>
      </w:r>
      <w:r w:rsidRPr="00D525A4">
        <w:tab/>
        <w:t xml:space="preserve">For the meaning of </w:t>
      </w:r>
      <w:r w:rsidRPr="00D525A4">
        <w:rPr>
          <w:b/>
          <w:bCs/>
          <w:i/>
          <w:iCs/>
        </w:rPr>
        <w:t>control</w:t>
      </w:r>
      <w:r w:rsidRPr="00D525A4">
        <w:t xml:space="preserve">, see </w:t>
      </w:r>
      <w:r w:rsidR="0013261E" w:rsidRPr="00D525A4">
        <w:t>section 1</w:t>
      </w:r>
      <w:r w:rsidRPr="00D525A4">
        <w:t>1 of the Act.</w:t>
      </w:r>
    </w:p>
    <w:p w14:paraId="300D6ACB" w14:textId="21A6BB09" w:rsidR="006D4692" w:rsidRPr="00D525A4" w:rsidRDefault="00110F88" w:rsidP="00110F88">
      <w:pPr>
        <w:pStyle w:val="subsection"/>
      </w:pPr>
      <w:r w:rsidRPr="00D525A4">
        <w:tab/>
        <w:t>(</w:t>
      </w:r>
      <w:r w:rsidR="006D4692" w:rsidRPr="00D525A4">
        <w:t>3</w:t>
      </w:r>
      <w:r w:rsidRPr="00D525A4">
        <w:t>)</w:t>
      </w:r>
      <w:r w:rsidRPr="00D525A4">
        <w:tab/>
        <w:t>If 2 or more persons in the group</w:t>
      </w:r>
      <w:r w:rsidR="00611B82" w:rsidRPr="00D525A4">
        <w:t xml:space="preserve"> who</w:t>
      </w:r>
      <w:r w:rsidRPr="00D525A4">
        <w:t xml:space="preserve"> satisfy </w:t>
      </w:r>
      <w:r w:rsidR="009F59ED" w:rsidRPr="00D525A4">
        <w:t>paragraph (</w:t>
      </w:r>
      <w:r w:rsidR="00611B82" w:rsidRPr="00D525A4">
        <w:t>2)(a)</w:t>
      </w:r>
      <w:r w:rsidRPr="00D525A4">
        <w:t xml:space="preserve"> control an equal number of members of the group who provide a designated service, the lead entity </w:t>
      </w:r>
      <w:r w:rsidR="006D4692" w:rsidRPr="00D525A4">
        <w:t>at a time in a financial year is:</w:t>
      </w:r>
    </w:p>
    <w:p w14:paraId="72FA949F" w14:textId="69DF78CB" w:rsidR="006D4692" w:rsidRPr="00D525A4" w:rsidRDefault="006D4692" w:rsidP="006D4692">
      <w:pPr>
        <w:pStyle w:val="paragraph"/>
      </w:pPr>
      <w:r w:rsidRPr="00D525A4">
        <w:tab/>
        <w:t>(a)</w:t>
      </w:r>
      <w:r w:rsidRPr="00D525A4">
        <w:tab/>
      </w:r>
      <w:r w:rsidR="00110F88" w:rsidRPr="00D525A4">
        <w:t xml:space="preserve">the person </w:t>
      </w:r>
      <w:r w:rsidR="00515726" w:rsidRPr="00D525A4">
        <w:t>who</w:t>
      </w:r>
      <w:r w:rsidR="00110F88" w:rsidRPr="00D525A4">
        <w:t xml:space="preserve"> most directly controls such members</w:t>
      </w:r>
      <w:r w:rsidRPr="00D525A4">
        <w:t xml:space="preserve"> at that time; or</w:t>
      </w:r>
    </w:p>
    <w:p w14:paraId="6EEBEECB" w14:textId="307CD71D" w:rsidR="00110F88" w:rsidRPr="00D525A4" w:rsidRDefault="006D4692" w:rsidP="006D4692">
      <w:pPr>
        <w:pStyle w:val="paragraph"/>
      </w:pPr>
      <w:r w:rsidRPr="00D525A4">
        <w:tab/>
        <w:t>(b)</w:t>
      </w:r>
      <w:r w:rsidRPr="00D525A4">
        <w:tab/>
        <w:t>i</w:t>
      </w:r>
      <w:r w:rsidR="00110F88" w:rsidRPr="00D525A4">
        <w:t xml:space="preserve">f </w:t>
      </w:r>
      <w:r w:rsidR="00A714D9" w:rsidRPr="00D525A4">
        <w:t>2</w:t>
      </w:r>
      <w:r w:rsidRPr="00D525A4">
        <w:t xml:space="preserve"> or more persons have</w:t>
      </w:r>
      <w:r w:rsidR="00110F88" w:rsidRPr="00D525A4">
        <w:t xml:space="preserve"> the same degree of control</w:t>
      </w:r>
      <w:r w:rsidRPr="00D525A4">
        <w:t xml:space="preserve"> at that time—</w:t>
      </w:r>
      <w:r w:rsidR="00110F88" w:rsidRPr="00D525A4">
        <w:t xml:space="preserve">whichever of those persons has the most employees </w:t>
      </w:r>
      <w:r w:rsidR="005E0B90" w:rsidRPr="00D525A4">
        <w:t>at the start</w:t>
      </w:r>
      <w:r w:rsidR="00110F88" w:rsidRPr="00D525A4">
        <w:t xml:space="preserve"> of th</w:t>
      </w:r>
      <w:r w:rsidRPr="00D525A4">
        <w:t>e</w:t>
      </w:r>
      <w:r w:rsidR="00110F88" w:rsidRPr="00D525A4">
        <w:t xml:space="preserve"> financial year.</w:t>
      </w:r>
    </w:p>
    <w:p w14:paraId="58FBF22F" w14:textId="77777777" w:rsidR="006D4692" w:rsidRPr="00D525A4" w:rsidRDefault="006D4692" w:rsidP="006D4692">
      <w:pPr>
        <w:pStyle w:val="SubsectionHead"/>
      </w:pPr>
      <w:r w:rsidRPr="00D525A4">
        <w:t>Ineligible groups</w:t>
      </w:r>
    </w:p>
    <w:p w14:paraId="5486CBC4" w14:textId="2464BA47" w:rsidR="006D4692" w:rsidRPr="00D525A4" w:rsidRDefault="006D4692" w:rsidP="006D4692">
      <w:pPr>
        <w:pStyle w:val="subsection"/>
      </w:pPr>
      <w:r w:rsidRPr="00D525A4">
        <w:tab/>
        <w:t>(4)</w:t>
      </w:r>
      <w:r w:rsidRPr="00D525A4">
        <w:tab/>
        <w:t xml:space="preserve">For the purposes of </w:t>
      </w:r>
      <w:r w:rsidR="0010391B" w:rsidRPr="00D525A4">
        <w:t>paragraph 1</w:t>
      </w:r>
      <w:r w:rsidRPr="00D525A4">
        <w:t xml:space="preserve">0A(1)(a)(iii) of the Act, a business group is ineligible to be a reporting group to which </w:t>
      </w:r>
      <w:r w:rsidR="0010391B" w:rsidRPr="00D525A4">
        <w:t>paragraph 1</w:t>
      </w:r>
      <w:r w:rsidRPr="00D525A4">
        <w:t>0A(1)(a) of the Act applies if the person in the group who controls each other person has that control only by reason of the person’s capacity as:</w:t>
      </w:r>
    </w:p>
    <w:p w14:paraId="5243FE1C" w14:textId="77777777" w:rsidR="006D4692" w:rsidRPr="00D525A4" w:rsidRDefault="006D4692" w:rsidP="006D4692">
      <w:pPr>
        <w:pStyle w:val="paragraph"/>
      </w:pPr>
      <w:r w:rsidRPr="00D525A4">
        <w:tab/>
        <w:t>(a)</w:t>
      </w:r>
      <w:r w:rsidRPr="00D525A4">
        <w:tab/>
        <w:t>a receiver, or receiver and manager, of the property of a company; or</w:t>
      </w:r>
    </w:p>
    <w:p w14:paraId="15786532" w14:textId="77777777" w:rsidR="006D4692" w:rsidRPr="00D525A4" w:rsidRDefault="006D4692" w:rsidP="006D4692">
      <w:pPr>
        <w:pStyle w:val="paragraph"/>
      </w:pPr>
      <w:r w:rsidRPr="00D525A4">
        <w:tab/>
        <w:t>(b)</w:t>
      </w:r>
      <w:r w:rsidRPr="00D525A4">
        <w:tab/>
        <w:t>an administrator of a company; or</w:t>
      </w:r>
    </w:p>
    <w:p w14:paraId="46CEEDA7" w14:textId="77777777" w:rsidR="006D4692" w:rsidRPr="00D525A4" w:rsidRDefault="006D4692" w:rsidP="006D4692">
      <w:pPr>
        <w:pStyle w:val="paragraph"/>
      </w:pPr>
      <w:r w:rsidRPr="00D525A4">
        <w:tab/>
        <w:t>(c)</w:t>
      </w:r>
      <w:r w:rsidRPr="00D525A4">
        <w:tab/>
        <w:t>an administrator of a deed of company arrangement executed by a company; or</w:t>
      </w:r>
    </w:p>
    <w:p w14:paraId="0B800C3E" w14:textId="77777777" w:rsidR="006D4692" w:rsidRPr="00D525A4" w:rsidRDefault="006D4692" w:rsidP="006D4692">
      <w:pPr>
        <w:pStyle w:val="paragraph"/>
      </w:pPr>
      <w:r w:rsidRPr="00D525A4">
        <w:tab/>
        <w:t>(d)</w:t>
      </w:r>
      <w:r w:rsidRPr="00D525A4">
        <w:tab/>
        <w:t>a restructuring practitioner for a company; or</w:t>
      </w:r>
    </w:p>
    <w:p w14:paraId="4A626191" w14:textId="77777777" w:rsidR="006D4692" w:rsidRPr="00D525A4" w:rsidRDefault="006D4692" w:rsidP="006D4692">
      <w:pPr>
        <w:pStyle w:val="paragraph"/>
      </w:pPr>
      <w:r w:rsidRPr="00D525A4">
        <w:tab/>
        <w:t>(e)</w:t>
      </w:r>
      <w:r w:rsidRPr="00D525A4">
        <w:tab/>
        <w:t>a restructuring practitioner for a restructuring plan made by a company; or</w:t>
      </w:r>
    </w:p>
    <w:p w14:paraId="3B45D69C" w14:textId="77777777" w:rsidR="006D4692" w:rsidRPr="00D525A4" w:rsidRDefault="006D4692" w:rsidP="006D4692">
      <w:pPr>
        <w:pStyle w:val="paragraph"/>
      </w:pPr>
      <w:r w:rsidRPr="00D525A4">
        <w:tab/>
        <w:t>(f)</w:t>
      </w:r>
      <w:r w:rsidRPr="00D525A4">
        <w:tab/>
        <w:t>a liquidator of a company; or</w:t>
      </w:r>
    </w:p>
    <w:p w14:paraId="0146FDD6" w14:textId="77777777" w:rsidR="006D4692" w:rsidRPr="00D525A4" w:rsidRDefault="006D4692" w:rsidP="006D4692">
      <w:pPr>
        <w:pStyle w:val="paragraph"/>
      </w:pPr>
      <w:r w:rsidRPr="00D525A4">
        <w:tab/>
        <w:t>(g)</w:t>
      </w:r>
      <w:r w:rsidRPr="00D525A4">
        <w:tab/>
        <w:t>a trustee or other person administering a compromise or arrangement made between a company and someone else; or</w:t>
      </w:r>
    </w:p>
    <w:p w14:paraId="1B84A215" w14:textId="77777777" w:rsidR="006D4692" w:rsidRPr="00D525A4" w:rsidRDefault="006D4692" w:rsidP="006D4692">
      <w:pPr>
        <w:pStyle w:val="paragraph"/>
      </w:pPr>
      <w:r w:rsidRPr="00D525A4">
        <w:tab/>
        <w:t>(h)</w:t>
      </w:r>
      <w:r w:rsidRPr="00D525A4">
        <w:tab/>
        <w:t>a trustee in bankruptcy.</w:t>
      </w:r>
    </w:p>
    <w:p w14:paraId="337B2BDA" w14:textId="49F98CC9" w:rsidR="00110F88" w:rsidRPr="00D525A4" w:rsidRDefault="00EC097E" w:rsidP="00110F88">
      <w:pPr>
        <w:pStyle w:val="ActHead5"/>
      </w:pPr>
      <w:bookmarkStart w:id="14" w:name="_Toc198224906"/>
      <w:r w:rsidRPr="00D525A4">
        <w:rPr>
          <w:rStyle w:val="CharSectno"/>
        </w:rPr>
        <w:t>1</w:t>
      </w:r>
      <w:r w:rsidR="00D525A4">
        <w:rPr>
          <w:rStyle w:val="CharSectno"/>
        </w:rPr>
        <w:noBreakHyphen/>
      </w:r>
      <w:r w:rsidRPr="00D525A4">
        <w:rPr>
          <w:rStyle w:val="CharSectno"/>
        </w:rPr>
        <w:t>10</w:t>
      </w:r>
      <w:r w:rsidR="00110F88" w:rsidRPr="00D525A4">
        <w:t xml:space="preserve">  Reporting group formed by election</w:t>
      </w:r>
      <w:bookmarkEnd w:id="14"/>
    </w:p>
    <w:p w14:paraId="174E0D2F" w14:textId="77777777" w:rsidR="00110F88" w:rsidRPr="00D525A4" w:rsidRDefault="00110F88" w:rsidP="00110F88">
      <w:pPr>
        <w:pStyle w:val="SubsectionHead"/>
      </w:pPr>
      <w:r w:rsidRPr="00D525A4">
        <w:t>Conditions for group membership</w:t>
      </w:r>
    </w:p>
    <w:p w14:paraId="285C8663" w14:textId="24F9F328" w:rsidR="00110F88" w:rsidRPr="00D525A4" w:rsidRDefault="00110F88" w:rsidP="00110F88">
      <w:pPr>
        <w:pStyle w:val="subsection"/>
      </w:pPr>
      <w:r w:rsidRPr="00D525A4">
        <w:tab/>
        <w:t>(1)</w:t>
      </w:r>
      <w:r w:rsidRPr="00D525A4">
        <w:tab/>
        <w:t xml:space="preserve">For the purposes of </w:t>
      </w:r>
      <w:r w:rsidR="0013261E" w:rsidRPr="00D525A4">
        <w:t>sub</w:t>
      </w:r>
      <w:r w:rsidR="0010391B" w:rsidRPr="00D525A4">
        <w:t>paragraph 1</w:t>
      </w:r>
      <w:r w:rsidRPr="00D525A4">
        <w:t>0A(1)(b)(iv) of the Act, each member of the reporting group must be:</w:t>
      </w:r>
    </w:p>
    <w:p w14:paraId="009C544B" w14:textId="77777777" w:rsidR="00110F88" w:rsidRPr="00D525A4" w:rsidRDefault="00110F88" w:rsidP="00110F88">
      <w:pPr>
        <w:pStyle w:val="paragraph"/>
      </w:pPr>
      <w:r w:rsidRPr="00D525A4">
        <w:tab/>
        <w:t>(a)</w:t>
      </w:r>
      <w:r w:rsidRPr="00D525A4">
        <w:tab/>
        <w:t>a reporting entity; or</w:t>
      </w:r>
    </w:p>
    <w:p w14:paraId="085A69F0" w14:textId="77777777" w:rsidR="00110F88" w:rsidRPr="00D525A4" w:rsidRDefault="00110F88" w:rsidP="00110F88">
      <w:pPr>
        <w:pStyle w:val="paragraph"/>
      </w:pPr>
      <w:r w:rsidRPr="00D525A4">
        <w:tab/>
        <w:t>(b)</w:t>
      </w:r>
      <w:r w:rsidRPr="00D525A4">
        <w:tab/>
        <w:t>a person who discharges obligations imposed on members of the reporting group by the Act, the regulations or the AML/CTF Rules.</w:t>
      </w:r>
    </w:p>
    <w:p w14:paraId="123D9645" w14:textId="77777777" w:rsidR="00110F88" w:rsidRPr="00D525A4" w:rsidRDefault="00110F88" w:rsidP="00110F88">
      <w:pPr>
        <w:pStyle w:val="SubsectionHead"/>
      </w:pPr>
      <w:r w:rsidRPr="00D525A4">
        <w:t>Lead entity</w:t>
      </w:r>
    </w:p>
    <w:p w14:paraId="5FBA88B1" w14:textId="16CA9DCE" w:rsidR="00110F88" w:rsidRPr="00D525A4" w:rsidRDefault="00110F88" w:rsidP="00110F88">
      <w:pPr>
        <w:pStyle w:val="subsection"/>
      </w:pPr>
      <w:r w:rsidRPr="00D525A4">
        <w:tab/>
        <w:t>(2)</w:t>
      </w:r>
      <w:r w:rsidRPr="00D525A4">
        <w:tab/>
        <w:t xml:space="preserve">For the purposes of </w:t>
      </w:r>
      <w:r w:rsidR="0013261E" w:rsidRPr="00D525A4">
        <w:t>subsection 1</w:t>
      </w:r>
      <w:r w:rsidRPr="00D525A4">
        <w:t xml:space="preserve">0A(5) of the Act, the lead entity of a reporting group to which </w:t>
      </w:r>
      <w:r w:rsidR="0010391B" w:rsidRPr="00D525A4">
        <w:t>paragraph 1</w:t>
      </w:r>
      <w:r w:rsidRPr="00D525A4">
        <w:t>0A(1)(b) of the Act applies is the member of the group that satisfies the following requirements:</w:t>
      </w:r>
    </w:p>
    <w:p w14:paraId="121ACDEA" w14:textId="70C82511" w:rsidR="00110F88" w:rsidRPr="00D525A4" w:rsidRDefault="00110F88" w:rsidP="00110F88">
      <w:pPr>
        <w:pStyle w:val="paragraph"/>
      </w:pPr>
      <w:r w:rsidRPr="00D525A4">
        <w:lastRenderedPageBreak/>
        <w:tab/>
        <w:t>(a)</w:t>
      </w:r>
      <w:r w:rsidRPr="00D525A4">
        <w:tab/>
        <w:t>the member is</w:t>
      </w:r>
      <w:r w:rsidR="00B0039C" w:rsidRPr="00D525A4">
        <w:t xml:space="preserve"> not</w:t>
      </w:r>
      <w:r w:rsidRPr="00D525A4">
        <w:t xml:space="preserve"> </w:t>
      </w:r>
      <w:r w:rsidR="00787378" w:rsidRPr="00D525A4">
        <w:t>controlled by</w:t>
      </w:r>
      <w:r w:rsidRPr="00D525A4">
        <w:t xml:space="preserve"> another member of the reporting group that provides designated services;</w:t>
      </w:r>
    </w:p>
    <w:p w14:paraId="295A34CB" w14:textId="77777777" w:rsidR="00110F88" w:rsidRPr="00D525A4" w:rsidRDefault="00110F88" w:rsidP="00110F88">
      <w:pPr>
        <w:pStyle w:val="paragraph"/>
      </w:pPr>
      <w:r w:rsidRPr="00D525A4">
        <w:tab/>
        <w:t>(b)</w:t>
      </w:r>
      <w:r w:rsidRPr="00D525A4">
        <w:tab/>
        <w:t>the other members of the group have agreed to the member having the capacity to determine the outcome of decisions about the AML/CTF policies of the other members;</w:t>
      </w:r>
    </w:p>
    <w:p w14:paraId="3E499606" w14:textId="700B4F08" w:rsidR="00313DE2" w:rsidRPr="00D525A4" w:rsidRDefault="00313DE2" w:rsidP="00B0039C">
      <w:pPr>
        <w:pStyle w:val="paragraph"/>
      </w:pPr>
      <w:r w:rsidRPr="00D525A4">
        <w:tab/>
        <w:t>(c)</w:t>
      </w:r>
      <w:r w:rsidRPr="00D525A4">
        <w:tab/>
        <w:t>the member is one of the following:</w:t>
      </w:r>
    </w:p>
    <w:p w14:paraId="280D399A" w14:textId="77777777" w:rsidR="00313DE2" w:rsidRPr="00D525A4" w:rsidRDefault="00313DE2" w:rsidP="00313DE2">
      <w:pPr>
        <w:pStyle w:val="paragraphsub"/>
      </w:pPr>
      <w:r w:rsidRPr="00D525A4">
        <w:tab/>
        <w:t>(i)</w:t>
      </w:r>
      <w:r w:rsidRPr="00D525A4">
        <w:tab/>
        <w:t>a body corporate incorporated in Australia;</w:t>
      </w:r>
    </w:p>
    <w:p w14:paraId="1E677F1F" w14:textId="77777777" w:rsidR="00313DE2" w:rsidRPr="00D525A4" w:rsidRDefault="00313DE2" w:rsidP="00313DE2">
      <w:pPr>
        <w:pStyle w:val="paragraphsub"/>
      </w:pPr>
      <w:r w:rsidRPr="00D525A4">
        <w:tab/>
        <w:t>(ii)</w:t>
      </w:r>
      <w:r w:rsidRPr="00D525A4">
        <w:tab/>
        <w:t xml:space="preserve">a registered foreign company within the meaning of the </w:t>
      </w:r>
      <w:r w:rsidRPr="00D525A4">
        <w:rPr>
          <w:i/>
          <w:iCs/>
        </w:rPr>
        <w:t>Corporations Act 2001</w:t>
      </w:r>
      <w:r w:rsidRPr="00D525A4">
        <w:t>;</w:t>
      </w:r>
    </w:p>
    <w:p w14:paraId="03848841" w14:textId="77777777" w:rsidR="00313DE2" w:rsidRPr="00D525A4" w:rsidRDefault="00313DE2" w:rsidP="00313DE2">
      <w:pPr>
        <w:pStyle w:val="paragraphsub"/>
      </w:pPr>
      <w:r w:rsidRPr="00D525A4">
        <w:tab/>
        <w:t>(iii)</w:t>
      </w:r>
      <w:r w:rsidRPr="00D525A4">
        <w:tab/>
        <w:t>a trust that has at least one trustee that is a resident of Australia;</w:t>
      </w:r>
    </w:p>
    <w:p w14:paraId="06641760" w14:textId="6E95C1D8" w:rsidR="00313DE2" w:rsidRPr="00D525A4" w:rsidRDefault="00313DE2" w:rsidP="00313DE2">
      <w:pPr>
        <w:pStyle w:val="paragraphsub"/>
      </w:pPr>
      <w:r w:rsidRPr="00D525A4">
        <w:tab/>
        <w:t>(iv)</w:t>
      </w:r>
      <w:r w:rsidRPr="00D525A4">
        <w:tab/>
        <w:t>if the member is not a body corporate, foreign company or trust—a resident of Australia</w:t>
      </w:r>
      <w:r w:rsidR="00787378" w:rsidRPr="00D525A4">
        <w:t>.</w:t>
      </w:r>
    </w:p>
    <w:p w14:paraId="116B5314" w14:textId="77777777" w:rsidR="00110F88" w:rsidRPr="00D525A4" w:rsidRDefault="00110F88" w:rsidP="00110F88">
      <w:pPr>
        <w:pStyle w:val="SubsectionHead"/>
      </w:pPr>
      <w:r w:rsidRPr="00D525A4">
        <w:t>Election to join existing reporting group</w:t>
      </w:r>
    </w:p>
    <w:p w14:paraId="5D5EE222" w14:textId="0FDEFA81" w:rsidR="00110F88" w:rsidRPr="00D525A4" w:rsidRDefault="00110F88" w:rsidP="00110F88">
      <w:pPr>
        <w:pStyle w:val="subsection"/>
      </w:pPr>
      <w:r w:rsidRPr="00D525A4">
        <w:tab/>
        <w:t>(3)</w:t>
      </w:r>
      <w:r w:rsidRPr="00D525A4">
        <w:tab/>
        <w:t xml:space="preserve">For the purposes of </w:t>
      </w:r>
      <w:r w:rsidR="0013261E" w:rsidRPr="00D525A4">
        <w:t>sub</w:t>
      </w:r>
      <w:r w:rsidR="0010391B" w:rsidRPr="00D525A4">
        <w:t>paragraph 1</w:t>
      </w:r>
      <w:r w:rsidRPr="00D525A4">
        <w:t>0A(1)(b)(ii) of the Act, a person electing to be a member of reporting group that is already in operation must have obtained the consent of the lead entity of the reporting group.</w:t>
      </w:r>
    </w:p>
    <w:p w14:paraId="0141234D" w14:textId="6921777E" w:rsidR="00787378" w:rsidRPr="00D525A4" w:rsidRDefault="00787378" w:rsidP="00787378">
      <w:pPr>
        <w:pStyle w:val="notetext"/>
        <w:rPr>
          <w:i/>
          <w:iCs/>
        </w:rPr>
      </w:pPr>
      <w:r w:rsidRPr="00D525A4">
        <w:t>Note:</w:t>
      </w:r>
      <w:r w:rsidRPr="00D525A4">
        <w:tab/>
        <w:t xml:space="preserve">A person enrolled under </w:t>
      </w:r>
      <w:r w:rsidR="0010391B" w:rsidRPr="00D525A4">
        <w:t>Part 3</w:t>
      </w:r>
      <w:r w:rsidRPr="00D525A4">
        <w:t>A of the Act (Reporting Entities Roll) is required to advise of changes</w:t>
      </w:r>
      <w:r w:rsidR="006E3A0F" w:rsidRPr="00D525A4">
        <w:t>—</w:t>
      </w:r>
      <w:r w:rsidRPr="00D525A4">
        <w:t xml:space="preserve">see </w:t>
      </w:r>
      <w:r w:rsidR="0010391B" w:rsidRPr="00D525A4">
        <w:t>subsection 5</w:t>
      </w:r>
      <w:r w:rsidRPr="00D525A4">
        <w:t xml:space="preserve">1F(1) of the Act and section </w:t>
      </w:r>
      <w:r w:rsidR="00EC097E" w:rsidRPr="00D525A4">
        <w:t>2</w:t>
      </w:r>
      <w:r w:rsidR="00D525A4">
        <w:noBreakHyphen/>
      </w:r>
      <w:r w:rsidR="00EC097E" w:rsidRPr="00D525A4">
        <w:t>8</w:t>
      </w:r>
      <w:r w:rsidRPr="00D525A4">
        <w:t xml:space="preserve"> of this instrument.</w:t>
      </w:r>
    </w:p>
    <w:p w14:paraId="14210306" w14:textId="77777777" w:rsidR="00110F88" w:rsidRPr="00D525A4" w:rsidRDefault="00110F88" w:rsidP="00110F88">
      <w:pPr>
        <w:pStyle w:val="SubsectionHead"/>
      </w:pPr>
      <w:r w:rsidRPr="00D525A4">
        <w:t>Conditions for leaving group</w:t>
      </w:r>
    </w:p>
    <w:p w14:paraId="517DBE24" w14:textId="5351791A" w:rsidR="00110F88" w:rsidRPr="00D525A4" w:rsidRDefault="00110F88" w:rsidP="00110F88">
      <w:pPr>
        <w:pStyle w:val="subsection"/>
      </w:pPr>
      <w:r w:rsidRPr="00D525A4">
        <w:tab/>
        <w:t>(4)</w:t>
      </w:r>
      <w:r w:rsidRPr="00D525A4">
        <w:tab/>
        <w:t xml:space="preserve">For the purposes of </w:t>
      </w:r>
      <w:r w:rsidR="0013261E" w:rsidRPr="00D525A4">
        <w:t>sub</w:t>
      </w:r>
      <w:r w:rsidR="0010391B" w:rsidRPr="00D525A4">
        <w:t>paragraph 1</w:t>
      </w:r>
      <w:r w:rsidRPr="00D525A4">
        <w:t>0A(1)(b)(vi) of the Act, a member of a reporting group (other than the lead entity) that elects to leave the reporting group must give the lead entity notice in writing.</w:t>
      </w:r>
    </w:p>
    <w:p w14:paraId="5FF4576C" w14:textId="43F216FB" w:rsidR="00110F88" w:rsidRPr="00D525A4" w:rsidRDefault="00110F88" w:rsidP="00110F88">
      <w:pPr>
        <w:pStyle w:val="notetext"/>
        <w:rPr>
          <w:i/>
          <w:iCs/>
        </w:rPr>
      </w:pPr>
      <w:r w:rsidRPr="00D525A4">
        <w:t>Note:</w:t>
      </w:r>
      <w:r w:rsidRPr="00D525A4">
        <w:tab/>
        <w:t xml:space="preserve">A person enrolled under </w:t>
      </w:r>
      <w:r w:rsidR="0010391B" w:rsidRPr="00D525A4">
        <w:t>Part 3</w:t>
      </w:r>
      <w:r w:rsidRPr="00D525A4">
        <w:t>A of the Act (Reporting Entities Roll) is required to advise of changes</w:t>
      </w:r>
      <w:r w:rsidR="006E3A0F" w:rsidRPr="00D525A4">
        <w:t>—</w:t>
      </w:r>
      <w:r w:rsidRPr="00D525A4">
        <w:t xml:space="preserve">see </w:t>
      </w:r>
      <w:r w:rsidR="0010391B" w:rsidRPr="00D525A4">
        <w:t>subsection 5</w:t>
      </w:r>
      <w:r w:rsidRPr="00D525A4">
        <w:t>1F(1) of the Act and section</w:t>
      </w:r>
      <w:r w:rsidR="00F20D27" w:rsidRPr="00D525A4">
        <w:t xml:space="preserve"> </w:t>
      </w:r>
      <w:r w:rsidR="00EC097E" w:rsidRPr="00D525A4">
        <w:t>2</w:t>
      </w:r>
      <w:r w:rsidR="00D525A4">
        <w:noBreakHyphen/>
      </w:r>
      <w:r w:rsidR="00EC097E" w:rsidRPr="00D525A4">
        <w:t>8</w:t>
      </w:r>
      <w:r w:rsidRPr="00D525A4">
        <w:t xml:space="preserve"> of </w:t>
      </w:r>
      <w:r w:rsidR="00F20D27" w:rsidRPr="00D525A4">
        <w:t>this instrument</w:t>
      </w:r>
      <w:r w:rsidRPr="00D525A4">
        <w:t>.</w:t>
      </w:r>
    </w:p>
    <w:p w14:paraId="3BCABD1A" w14:textId="462D16AC" w:rsidR="00110F88" w:rsidRPr="00D525A4" w:rsidRDefault="00110F88" w:rsidP="00110F88">
      <w:pPr>
        <w:pStyle w:val="subsection"/>
      </w:pPr>
      <w:r w:rsidRPr="00D525A4">
        <w:tab/>
        <w:t>(5)</w:t>
      </w:r>
      <w:r w:rsidRPr="00D525A4">
        <w:tab/>
        <w:t xml:space="preserve">For the purposes of </w:t>
      </w:r>
      <w:r w:rsidR="0013261E" w:rsidRPr="00D525A4">
        <w:t>sub</w:t>
      </w:r>
      <w:r w:rsidR="0010391B" w:rsidRPr="00D525A4">
        <w:t>paragraph 1</w:t>
      </w:r>
      <w:r w:rsidRPr="00D525A4">
        <w:t>0A(1)(b)(vi) of the Act, if the lead entity of a reporting group elects to leave the reporting group, the lead entity must give each other member of the group notice in writing.</w:t>
      </w:r>
    </w:p>
    <w:p w14:paraId="27E38279" w14:textId="39687ED7" w:rsidR="00F20D27" w:rsidRPr="00D525A4" w:rsidRDefault="00F20D27" w:rsidP="00F20D27">
      <w:pPr>
        <w:pStyle w:val="notetext"/>
        <w:rPr>
          <w:i/>
          <w:iCs/>
        </w:rPr>
      </w:pPr>
      <w:r w:rsidRPr="00D525A4">
        <w:t>Note:</w:t>
      </w:r>
      <w:r w:rsidRPr="00D525A4">
        <w:tab/>
        <w:t xml:space="preserve">A person enrolled under </w:t>
      </w:r>
      <w:r w:rsidR="0010391B" w:rsidRPr="00D525A4">
        <w:t>Part 3</w:t>
      </w:r>
      <w:r w:rsidRPr="00D525A4">
        <w:t>A of the Act (Reporting Entities Roll) is required to advise of changes</w:t>
      </w:r>
      <w:r w:rsidR="006E3A0F" w:rsidRPr="00D525A4">
        <w:t>—</w:t>
      </w:r>
      <w:r w:rsidRPr="00D525A4">
        <w:t xml:space="preserve">see </w:t>
      </w:r>
      <w:r w:rsidR="0010391B" w:rsidRPr="00D525A4">
        <w:t>subsection 5</w:t>
      </w:r>
      <w:r w:rsidRPr="00D525A4">
        <w:t xml:space="preserve">1F(1) of the Act and section </w:t>
      </w:r>
      <w:r w:rsidR="00EC097E" w:rsidRPr="00D525A4">
        <w:t>2</w:t>
      </w:r>
      <w:r w:rsidR="00D525A4">
        <w:noBreakHyphen/>
      </w:r>
      <w:r w:rsidR="00EC097E" w:rsidRPr="00D525A4">
        <w:t>8</w:t>
      </w:r>
      <w:r w:rsidRPr="00D525A4">
        <w:t xml:space="preserve"> of this instrument.</w:t>
      </w:r>
    </w:p>
    <w:p w14:paraId="3E8AEBC5" w14:textId="77777777" w:rsidR="00110F88" w:rsidRPr="00D525A4" w:rsidRDefault="00110F88" w:rsidP="00110F88">
      <w:pPr>
        <w:pStyle w:val="SubsectionHead"/>
      </w:pPr>
      <w:r w:rsidRPr="00D525A4">
        <w:t>Condition for operation of group</w:t>
      </w:r>
    </w:p>
    <w:p w14:paraId="5B37AD53" w14:textId="011B211A" w:rsidR="00D1723F" w:rsidRPr="00D525A4" w:rsidRDefault="00110F88" w:rsidP="00110F88">
      <w:pPr>
        <w:pStyle w:val="subsection"/>
      </w:pPr>
      <w:r w:rsidRPr="00D525A4">
        <w:tab/>
        <w:t>(6)</w:t>
      </w:r>
      <w:r w:rsidRPr="00D525A4">
        <w:tab/>
        <w:t xml:space="preserve">For the purposes of </w:t>
      </w:r>
      <w:r w:rsidR="0013261E" w:rsidRPr="00D525A4">
        <w:t>sub</w:t>
      </w:r>
      <w:r w:rsidR="0010391B" w:rsidRPr="00D525A4">
        <w:t>paragraph 1</w:t>
      </w:r>
      <w:r w:rsidRPr="00D525A4">
        <w:t>0A(1)(b)(vi) of the Act</w:t>
      </w:r>
      <w:r w:rsidR="00D1723F" w:rsidRPr="00D525A4">
        <w:t>:</w:t>
      </w:r>
    </w:p>
    <w:p w14:paraId="7283C452" w14:textId="7F657285" w:rsidR="00110F88" w:rsidRPr="00D525A4" w:rsidRDefault="00D1723F" w:rsidP="00D1723F">
      <w:pPr>
        <w:pStyle w:val="paragraph"/>
      </w:pPr>
      <w:r w:rsidRPr="00D525A4">
        <w:tab/>
        <w:t>(a)</w:t>
      </w:r>
      <w:r w:rsidRPr="00D525A4">
        <w:tab/>
      </w:r>
      <w:r w:rsidR="00110F88" w:rsidRPr="00D525A4">
        <w:t>a reporting group must not operate without a lead entity for a continuous period of more than 28 days</w:t>
      </w:r>
      <w:r w:rsidRPr="00D525A4">
        <w:t>; and</w:t>
      </w:r>
    </w:p>
    <w:p w14:paraId="50B8C2D6" w14:textId="217A5581" w:rsidR="00D1723F" w:rsidRPr="00D525A4" w:rsidRDefault="00D1723F" w:rsidP="00D1723F">
      <w:pPr>
        <w:pStyle w:val="paragraph"/>
      </w:pPr>
      <w:r w:rsidRPr="00D525A4">
        <w:tab/>
        <w:t>(b)</w:t>
      </w:r>
      <w:r w:rsidRPr="00D525A4">
        <w:tab/>
        <w:t xml:space="preserve">during any such period, each reporting entity that is a member of the reporting group that is a reporting entity must continue to comply with the AML/CTF policies of the most recent lead entity of the group (the </w:t>
      </w:r>
      <w:r w:rsidRPr="00D525A4">
        <w:rPr>
          <w:b/>
          <w:bCs/>
          <w:i/>
          <w:iCs/>
        </w:rPr>
        <w:t>previous lead entity</w:t>
      </w:r>
      <w:r w:rsidRPr="00D525A4">
        <w:t>) that applied to the member immediately before the previous lead entity ceased to be the lead entity of the group.</w:t>
      </w:r>
    </w:p>
    <w:p w14:paraId="2C00DD95" w14:textId="71144E85" w:rsidR="00643B4C" w:rsidRPr="00D525A4" w:rsidRDefault="0010391B" w:rsidP="00643B4C">
      <w:pPr>
        <w:pStyle w:val="ActHead2"/>
        <w:pageBreakBefore/>
      </w:pPr>
      <w:bookmarkStart w:id="15" w:name="_Toc198224907"/>
      <w:r w:rsidRPr="00D525A4">
        <w:rPr>
          <w:rStyle w:val="CharPartNo"/>
        </w:rPr>
        <w:lastRenderedPageBreak/>
        <w:t>Part 2</w:t>
      </w:r>
      <w:r w:rsidR="00643B4C" w:rsidRPr="00D525A4">
        <w:t>—</w:t>
      </w:r>
      <w:r w:rsidR="00643B4C" w:rsidRPr="00D525A4">
        <w:rPr>
          <w:rStyle w:val="CharPartText"/>
        </w:rPr>
        <w:t>Enrolment</w:t>
      </w:r>
      <w:bookmarkEnd w:id="15"/>
    </w:p>
    <w:p w14:paraId="38416C41" w14:textId="77777777" w:rsidR="00643B4C" w:rsidRPr="00D525A4" w:rsidRDefault="00643B4C" w:rsidP="00643B4C">
      <w:pPr>
        <w:pStyle w:val="ActHead3"/>
      </w:pPr>
      <w:bookmarkStart w:id="16" w:name="_Toc198224908"/>
      <w:r w:rsidRPr="00D525A4">
        <w:rPr>
          <w:rStyle w:val="CharDivNo"/>
        </w:rPr>
        <w:t>Division 1</w:t>
      </w:r>
      <w:r w:rsidRPr="00D525A4">
        <w:t>—</w:t>
      </w:r>
      <w:r w:rsidRPr="00D525A4">
        <w:rPr>
          <w:rStyle w:val="CharDivText"/>
        </w:rPr>
        <w:t>Application for enrolment</w:t>
      </w:r>
      <w:bookmarkEnd w:id="16"/>
    </w:p>
    <w:p w14:paraId="40E2CC42" w14:textId="78D6C7E8" w:rsidR="00643B4C" w:rsidRPr="00D525A4" w:rsidRDefault="00EC097E" w:rsidP="00643B4C">
      <w:pPr>
        <w:pStyle w:val="ActHead5"/>
      </w:pPr>
      <w:bookmarkStart w:id="17" w:name="_Toc198224909"/>
      <w:r w:rsidRPr="00D525A4">
        <w:rPr>
          <w:rStyle w:val="CharSectno"/>
        </w:rPr>
        <w:t>2</w:t>
      </w:r>
      <w:r w:rsidR="00D525A4">
        <w:rPr>
          <w:rStyle w:val="CharSectno"/>
        </w:rPr>
        <w:noBreakHyphen/>
      </w:r>
      <w:r w:rsidRPr="00D525A4">
        <w:rPr>
          <w:rStyle w:val="CharSectno"/>
        </w:rPr>
        <w:t>1</w:t>
      </w:r>
      <w:r w:rsidR="00643B4C" w:rsidRPr="00D525A4">
        <w:t xml:space="preserve">  Purpose of this Division</w:t>
      </w:r>
      <w:bookmarkEnd w:id="17"/>
    </w:p>
    <w:p w14:paraId="57C2E73A" w14:textId="495AFF0C" w:rsidR="00643B4C" w:rsidRPr="00D525A4" w:rsidRDefault="00643B4C" w:rsidP="00643B4C">
      <w:pPr>
        <w:pStyle w:val="subsection"/>
      </w:pPr>
      <w:r w:rsidRPr="00D525A4">
        <w:tab/>
      </w:r>
      <w:r w:rsidRPr="00D525A4">
        <w:tab/>
        <w:t xml:space="preserve">For the purposes of paragraph 51E(2)(b) of the Act, this Division sets out the information that must be contained in an application for enrolment as a reporting entity under </w:t>
      </w:r>
      <w:r w:rsidR="0010391B" w:rsidRPr="00D525A4">
        <w:t>subsection 5</w:t>
      </w:r>
      <w:r w:rsidRPr="00D525A4">
        <w:t>1E(1) of the Act.</w:t>
      </w:r>
    </w:p>
    <w:p w14:paraId="6B2D8172" w14:textId="0A30F19C" w:rsidR="00643B4C" w:rsidRPr="00D525A4" w:rsidRDefault="00EC097E" w:rsidP="00643B4C">
      <w:pPr>
        <w:pStyle w:val="ActHead5"/>
      </w:pPr>
      <w:bookmarkStart w:id="18" w:name="_Toc198224910"/>
      <w:r w:rsidRPr="00D525A4">
        <w:rPr>
          <w:rStyle w:val="CharSectno"/>
        </w:rPr>
        <w:t>2</w:t>
      </w:r>
      <w:r w:rsidR="00D525A4">
        <w:rPr>
          <w:rStyle w:val="CharSectno"/>
        </w:rPr>
        <w:noBreakHyphen/>
      </w:r>
      <w:r w:rsidRPr="00D525A4">
        <w:rPr>
          <w:rStyle w:val="CharSectno"/>
        </w:rPr>
        <w:t>2</w:t>
      </w:r>
      <w:r w:rsidR="00643B4C" w:rsidRPr="00D525A4">
        <w:t xml:space="preserve">  Information about applicant’s designated services</w:t>
      </w:r>
      <w:bookmarkEnd w:id="18"/>
    </w:p>
    <w:p w14:paraId="4BCBE966" w14:textId="77777777" w:rsidR="00643B4C" w:rsidRPr="00D525A4" w:rsidRDefault="00643B4C" w:rsidP="00643B4C">
      <w:pPr>
        <w:pStyle w:val="subsection"/>
      </w:pPr>
      <w:r w:rsidRPr="00D525A4">
        <w:tab/>
        <w:t>(1)</w:t>
      </w:r>
      <w:r w:rsidRPr="00D525A4">
        <w:tab/>
        <w:t>The application must contain the following information in relation to each kind of designated services provided or proposed to be provided by the applicant:</w:t>
      </w:r>
    </w:p>
    <w:p w14:paraId="68C5D8FA" w14:textId="77777777" w:rsidR="00643B4C" w:rsidRPr="00D525A4" w:rsidRDefault="00643B4C" w:rsidP="00643B4C">
      <w:pPr>
        <w:pStyle w:val="paragraph"/>
      </w:pPr>
      <w:r w:rsidRPr="00D525A4">
        <w:tab/>
        <w:t>(a)</w:t>
      </w:r>
      <w:r w:rsidRPr="00D525A4">
        <w:tab/>
        <w:t>a description of the designated services;</w:t>
      </w:r>
    </w:p>
    <w:p w14:paraId="0921D061" w14:textId="77777777" w:rsidR="00643B4C" w:rsidRPr="00D525A4" w:rsidRDefault="00643B4C" w:rsidP="00643B4C">
      <w:pPr>
        <w:pStyle w:val="paragraph"/>
      </w:pPr>
      <w:r w:rsidRPr="00D525A4">
        <w:tab/>
        <w:t>(b)</w:t>
      </w:r>
      <w:r w:rsidRPr="00D525A4">
        <w:tab/>
        <w:t>the date the applicant commenced to provide, or proposes to provide, the designated services;</w:t>
      </w:r>
    </w:p>
    <w:p w14:paraId="7143DFBE" w14:textId="77777777" w:rsidR="00643B4C" w:rsidRPr="00D525A4" w:rsidRDefault="00643B4C" w:rsidP="00643B4C">
      <w:pPr>
        <w:pStyle w:val="paragraph"/>
      </w:pPr>
      <w:r w:rsidRPr="00D525A4">
        <w:tab/>
        <w:t>(c)</w:t>
      </w:r>
      <w:r w:rsidRPr="00D525A4">
        <w:tab/>
        <w:t>whether any of the following circumstances apply:</w:t>
      </w:r>
    </w:p>
    <w:p w14:paraId="53EB794D" w14:textId="77777777" w:rsidR="00643B4C" w:rsidRPr="00D525A4" w:rsidRDefault="00643B4C" w:rsidP="00643B4C">
      <w:pPr>
        <w:pStyle w:val="paragraphsub"/>
      </w:pPr>
      <w:r w:rsidRPr="00D525A4">
        <w:tab/>
        <w:t>(i)</w:t>
      </w:r>
      <w:r w:rsidRPr="00D525A4">
        <w:tab/>
        <w:t>the applicant provides, or proposes to provide, the designated services at or through a permanent establishment of the applicant</w:t>
      </w:r>
      <w:r w:rsidRPr="00D525A4">
        <w:rPr>
          <w:i/>
          <w:iCs/>
        </w:rPr>
        <w:t xml:space="preserve"> </w:t>
      </w:r>
      <w:r w:rsidRPr="00D525A4">
        <w:t>in Australia;</w:t>
      </w:r>
    </w:p>
    <w:p w14:paraId="0B9973CA" w14:textId="77777777" w:rsidR="00643B4C" w:rsidRPr="00D525A4" w:rsidRDefault="00643B4C" w:rsidP="00643B4C">
      <w:pPr>
        <w:pStyle w:val="paragraphsub"/>
      </w:pPr>
      <w:r w:rsidRPr="00D525A4">
        <w:tab/>
        <w:t>(ii)</w:t>
      </w:r>
      <w:r w:rsidRPr="00D525A4">
        <w:tab/>
        <w:t>the applicant is a resident of Australia and the designated services are provided, or proposed to be provided, at or through a permanent establishment of the applicant in a foreign country;</w:t>
      </w:r>
    </w:p>
    <w:p w14:paraId="18FBC6AE" w14:textId="77777777" w:rsidR="00643B4C" w:rsidRPr="00D525A4" w:rsidRDefault="00643B4C" w:rsidP="00643B4C">
      <w:pPr>
        <w:pStyle w:val="paragraphsub"/>
      </w:pPr>
      <w:r w:rsidRPr="00D525A4">
        <w:tab/>
        <w:t>(iii)</w:t>
      </w:r>
      <w:r w:rsidRPr="00D525A4">
        <w:tab/>
        <w:t>the applicant is a subsidiary of a company that is a resident of Australia and the designated services are provided, or proposed to be provided, at or through a permanent establishment of the applicant in a foreign country;</w:t>
      </w:r>
    </w:p>
    <w:p w14:paraId="0E01C0D4" w14:textId="77777777" w:rsidR="00643B4C" w:rsidRPr="00D525A4" w:rsidRDefault="00643B4C" w:rsidP="00643B4C">
      <w:pPr>
        <w:pStyle w:val="paragraph"/>
      </w:pPr>
      <w:r w:rsidRPr="00D525A4">
        <w:tab/>
        <w:t>(d)</w:t>
      </w:r>
      <w:r w:rsidRPr="00D525A4">
        <w:tab/>
        <w:t>information on the industry in which the applicant provides, or proposes to provide, the designated services.</w:t>
      </w:r>
    </w:p>
    <w:p w14:paraId="744F40A8" w14:textId="77777777" w:rsidR="00643B4C" w:rsidRPr="00D525A4" w:rsidRDefault="00643B4C" w:rsidP="00643B4C">
      <w:pPr>
        <w:pStyle w:val="subsection"/>
      </w:pPr>
      <w:r w:rsidRPr="00D525A4">
        <w:rPr>
          <w:i/>
          <w:iCs/>
        </w:rPr>
        <w:tab/>
      </w:r>
      <w:r w:rsidRPr="00D525A4">
        <w:t>(2)</w:t>
      </w:r>
      <w:r w:rsidRPr="00D525A4">
        <w:tab/>
        <w:t>If designated services provided, or proposed to be provided, by the applicant are registrable remittance network services, registrable remittance services or registrable virtual asset services, the application must contain information about whether the applicant is, or whether an application has been or will be made for the applicant to be, any of the following:</w:t>
      </w:r>
    </w:p>
    <w:p w14:paraId="1F705D5A" w14:textId="77777777" w:rsidR="00643B4C" w:rsidRPr="00D525A4" w:rsidRDefault="00643B4C" w:rsidP="00643B4C">
      <w:pPr>
        <w:pStyle w:val="paragraph"/>
      </w:pPr>
      <w:r w:rsidRPr="00D525A4">
        <w:tab/>
        <w:t>(a)</w:t>
      </w:r>
      <w:r w:rsidRPr="00D525A4">
        <w:tab/>
        <w:t>for registrable remittance network services—a registered remittance network provider;</w:t>
      </w:r>
    </w:p>
    <w:p w14:paraId="34BA03F6" w14:textId="77777777" w:rsidR="00643B4C" w:rsidRPr="00D525A4" w:rsidRDefault="00643B4C" w:rsidP="00643B4C">
      <w:pPr>
        <w:pStyle w:val="paragraph"/>
      </w:pPr>
      <w:r w:rsidRPr="00D525A4">
        <w:tab/>
        <w:t>(b)</w:t>
      </w:r>
      <w:r w:rsidRPr="00D525A4">
        <w:tab/>
        <w:t>for registrable remittance services—a registered independent remittance dealer or a registered remittance affiliate of a registered remittance network provider;</w:t>
      </w:r>
    </w:p>
    <w:p w14:paraId="5F36CC08" w14:textId="77777777" w:rsidR="00643B4C" w:rsidRPr="00D525A4" w:rsidRDefault="00643B4C" w:rsidP="00643B4C">
      <w:pPr>
        <w:pStyle w:val="paragraph"/>
      </w:pPr>
      <w:r w:rsidRPr="00D525A4">
        <w:tab/>
        <w:t>(c)</w:t>
      </w:r>
      <w:r w:rsidRPr="00D525A4">
        <w:tab/>
        <w:t>for registrable virtual asset services—a registered virtual asset service provider.</w:t>
      </w:r>
    </w:p>
    <w:p w14:paraId="543E3CAD" w14:textId="6EE2273C" w:rsidR="00643B4C" w:rsidRPr="00D525A4" w:rsidRDefault="00643B4C" w:rsidP="00643B4C">
      <w:pPr>
        <w:pStyle w:val="subsection"/>
      </w:pPr>
      <w:r w:rsidRPr="00D525A4">
        <w:tab/>
        <w:t>(3)</w:t>
      </w:r>
      <w:r w:rsidRPr="00D525A4">
        <w:tab/>
        <w:t xml:space="preserve">The application must contain information on whether </w:t>
      </w:r>
      <w:r w:rsidR="0010391B" w:rsidRPr="00D525A4">
        <w:t>section 2</w:t>
      </w:r>
      <w:r w:rsidRPr="00D525A4">
        <w:t>33K of the Act:</w:t>
      </w:r>
    </w:p>
    <w:p w14:paraId="72AA96A8" w14:textId="77777777" w:rsidR="00643B4C" w:rsidRPr="00D525A4" w:rsidRDefault="00643B4C" w:rsidP="00643B4C">
      <w:pPr>
        <w:pStyle w:val="paragraph"/>
      </w:pPr>
      <w:r w:rsidRPr="00D525A4">
        <w:tab/>
        <w:t>(a)</w:t>
      </w:r>
      <w:r w:rsidRPr="00D525A4">
        <w:tab/>
        <w:t>applies to the applicant; or</w:t>
      </w:r>
    </w:p>
    <w:p w14:paraId="156294C2" w14:textId="77777777" w:rsidR="00643B4C" w:rsidRPr="00D525A4" w:rsidRDefault="00643B4C" w:rsidP="00643B4C">
      <w:pPr>
        <w:pStyle w:val="paragraph"/>
      </w:pPr>
      <w:r w:rsidRPr="00D525A4">
        <w:tab/>
        <w:t>(b)</w:t>
      </w:r>
      <w:r w:rsidRPr="00D525A4">
        <w:tab/>
        <w:t>will apply</w:t>
      </w:r>
      <w:r w:rsidRPr="00D525A4">
        <w:rPr>
          <w:i/>
          <w:iCs/>
        </w:rPr>
        <w:t xml:space="preserve"> </w:t>
      </w:r>
      <w:r w:rsidRPr="00D525A4">
        <w:t>to the applicant if the applicant provides a designated service proposed to be provided by the applicant.</w:t>
      </w:r>
    </w:p>
    <w:p w14:paraId="01F19558" w14:textId="517660A6" w:rsidR="00643B4C" w:rsidRPr="00D525A4" w:rsidRDefault="00643B4C" w:rsidP="00643B4C">
      <w:pPr>
        <w:pStyle w:val="notetext"/>
      </w:pPr>
      <w:r w:rsidRPr="00D525A4">
        <w:lastRenderedPageBreak/>
        <w:t>Note:</w:t>
      </w:r>
      <w:r w:rsidRPr="00D525A4">
        <w:tab/>
        <w:t xml:space="preserve">Under </w:t>
      </w:r>
      <w:r w:rsidR="0010391B" w:rsidRPr="00D525A4">
        <w:t>section 2</w:t>
      </w:r>
      <w:r w:rsidRPr="00D525A4">
        <w:t>33K of the Act, certain provisions of the Act do not apply to a reporting entity that provides certain gambling services in circumstances where the entity and any related entity that is a reporting entity are entitled to operate no more than 15 gaming machines under State or Territory licences.</w:t>
      </w:r>
    </w:p>
    <w:p w14:paraId="2BFB13A8" w14:textId="51F16812" w:rsidR="00643B4C" w:rsidRPr="00D525A4" w:rsidRDefault="00643B4C" w:rsidP="00643B4C">
      <w:pPr>
        <w:pStyle w:val="subsection"/>
      </w:pPr>
      <w:r w:rsidRPr="00D525A4">
        <w:tab/>
        <w:t>(4)</w:t>
      </w:r>
      <w:r w:rsidRPr="00D525A4">
        <w:tab/>
        <w:t xml:space="preserve">If all the designated services provided, or proposed to be provided, by the applicant are covered by </w:t>
      </w:r>
      <w:r w:rsidR="0013261E" w:rsidRPr="00D525A4">
        <w:t>item 5</w:t>
      </w:r>
      <w:r w:rsidRPr="00D525A4">
        <w:t xml:space="preserve">4 of table 1 in </w:t>
      </w:r>
      <w:r w:rsidR="0010391B" w:rsidRPr="00D525A4">
        <w:t>section 6</w:t>
      </w:r>
      <w:r w:rsidRPr="00D525A4">
        <w:t xml:space="preserve"> of the Act, the application must contain a statement to that effect.</w:t>
      </w:r>
    </w:p>
    <w:p w14:paraId="5A2DE0D5" w14:textId="6917E52C" w:rsidR="00643B4C" w:rsidRPr="00D525A4" w:rsidRDefault="00643B4C" w:rsidP="00643B4C">
      <w:pPr>
        <w:pStyle w:val="notetext"/>
      </w:pPr>
      <w:r w:rsidRPr="00D525A4">
        <w:t>Note:</w:t>
      </w:r>
      <w:r w:rsidRPr="00D525A4">
        <w:tab/>
        <w:t xml:space="preserve">Item 54 of table 1 in </w:t>
      </w:r>
      <w:r w:rsidR="0010391B" w:rsidRPr="00D525A4">
        <w:t>section 6</w:t>
      </w:r>
      <w:r w:rsidRPr="00D525A4">
        <w:t xml:space="preserve"> of the Act covers a holder of an Australian financial services licence who arranges for a person to receive a designated service.</w:t>
      </w:r>
    </w:p>
    <w:p w14:paraId="2D174331" w14:textId="4928C719" w:rsidR="00643B4C" w:rsidRPr="00D525A4" w:rsidRDefault="00EC097E" w:rsidP="00643B4C">
      <w:pPr>
        <w:pStyle w:val="ActHead5"/>
      </w:pPr>
      <w:bookmarkStart w:id="19" w:name="_Toc198224911"/>
      <w:r w:rsidRPr="00D525A4">
        <w:rPr>
          <w:rStyle w:val="CharSectno"/>
        </w:rPr>
        <w:t>2</w:t>
      </w:r>
      <w:r w:rsidR="00D525A4">
        <w:rPr>
          <w:rStyle w:val="CharSectno"/>
        </w:rPr>
        <w:noBreakHyphen/>
      </w:r>
      <w:r w:rsidRPr="00D525A4">
        <w:rPr>
          <w:rStyle w:val="CharSectno"/>
        </w:rPr>
        <w:t>3</w:t>
      </w:r>
      <w:r w:rsidR="00643B4C" w:rsidRPr="00D525A4">
        <w:t xml:space="preserve">  Information relating to the applicant</w:t>
      </w:r>
      <w:bookmarkEnd w:id="19"/>
    </w:p>
    <w:p w14:paraId="70797348" w14:textId="77777777" w:rsidR="00643B4C" w:rsidRPr="00D525A4" w:rsidRDefault="00643B4C" w:rsidP="00643B4C">
      <w:pPr>
        <w:pStyle w:val="SubsectionHead"/>
      </w:pPr>
      <w:r w:rsidRPr="00D525A4">
        <w:t>General information relating to the applicant</w:t>
      </w:r>
    </w:p>
    <w:p w14:paraId="7E48921B" w14:textId="77777777" w:rsidR="00643B4C" w:rsidRPr="00D525A4" w:rsidRDefault="00643B4C" w:rsidP="00643B4C">
      <w:pPr>
        <w:pStyle w:val="subsection"/>
      </w:pPr>
      <w:r w:rsidRPr="00D525A4">
        <w:tab/>
        <w:t>(1)</w:t>
      </w:r>
      <w:r w:rsidRPr="00D525A4">
        <w:tab/>
        <w:t>The application must contain the following information relating to the applicant:</w:t>
      </w:r>
    </w:p>
    <w:p w14:paraId="411A06E0" w14:textId="77777777" w:rsidR="00643B4C" w:rsidRPr="00D525A4" w:rsidRDefault="00643B4C" w:rsidP="00643B4C">
      <w:pPr>
        <w:pStyle w:val="paragraph"/>
      </w:pPr>
      <w:r w:rsidRPr="00D525A4">
        <w:tab/>
        <w:t>(a)</w:t>
      </w:r>
      <w:r w:rsidRPr="00D525A4">
        <w:tab/>
        <w:t>the applicant’s full name, and any registered or other names under which the applicant provides or will provide its designated services;</w:t>
      </w:r>
    </w:p>
    <w:p w14:paraId="2D405E30" w14:textId="77777777" w:rsidR="00643B4C" w:rsidRPr="00D525A4" w:rsidRDefault="00643B4C" w:rsidP="00643B4C">
      <w:pPr>
        <w:pStyle w:val="paragraph"/>
      </w:pPr>
      <w:r w:rsidRPr="00D525A4">
        <w:tab/>
        <w:t>(b)</w:t>
      </w:r>
      <w:r w:rsidRPr="00D525A4">
        <w:tab/>
      </w:r>
      <w:bookmarkStart w:id="20" w:name="_Hlk193459014"/>
      <w:r w:rsidRPr="00D525A4">
        <w:t>the applicant’s ABN, ACN, ARBN and ARSN (as applicable);</w:t>
      </w:r>
    </w:p>
    <w:p w14:paraId="196A2298" w14:textId="0EFF398E" w:rsidR="00643B4C" w:rsidRPr="00D525A4" w:rsidRDefault="00643B4C" w:rsidP="00643B4C">
      <w:pPr>
        <w:pStyle w:val="paragraph"/>
      </w:pPr>
      <w:r w:rsidRPr="00D525A4">
        <w:tab/>
        <w:t>(c)</w:t>
      </w:r>
      <w:r w:rsidRPr="00D525A4">
        <w:tab/>
        <w:t xml:space="preserve">a unique identifier for the applicant </w:t>
      </w:r>
      <w:r w:rsidR="00C02FFC" w:rsidRPr="00D525A4">
        <w:t xml:space="preserve">(if any) </w:t>
      </w:r>
      <w:r w:rsidRPr="00D525A4">
        <w:t>given by an organisation accredited by the Global Legal Entity Identification Foundation;</w:t>
      </w:r>
    </w:p>
    <w:bookmarkEnd w:id="20"/>
    <w:p w14:paraId="17BDDBD1" w14:textId="77777777" w:rsidR="00643B4C" w:rsidRPr="00D525A4" w:rsidRDefault="00643B4C" w:rsidP="00643B4C">
      <w:pPr>
        <w:pStyle w:val="paragraph"/>
      </w:pPr>
      <w:r w:rsidRPr="00D525A4">
        <w:tab/>
        <w:t>(d)</w:t>
      </w:r>
      <w:r w:rsidRPr="00D525A4">
        <w:tab/>
        <w:t>the address of the applicant’s registered office (if applicable);</w:t>
      </w:r>
    </w:p>
    <w:p w14:paraId="69A6960C" w14:textId="77777777" w:rsidR="00643B4C" w:rsidRPr="00D525A4" w:rsidRDefault="00643B4C" w:rsidP="00643B4C">
      <w:pPr>
        <w:pStyle w:val="paragraph"/>
      </w:pPr>
      <w:r w:rsidRPr="00D525A4">
        <w:tab/>
        <w:t>(e)</w:t>
      </w:r>
      <w:r w:rsidRPr="00D525A4">
        <w:tab/>
        <w:t>the address of the applicant’s principal place of business or operations in Australia;</w:t>
      </w:r>
    </w:p>
    <w:p w14:paraId="36D7423F" w14:textId="77777777" w:rsidR="00643B4C" w:rsidRPr="00D525A4" w:rsidRDefault="00643B4C" w:rsidP="00643B4C">
      <w:pPr>
        <w:pStyle w:val="paragraph"/>
      </w:pPr>
      <w:r w:rsidRPr="00D525A4">
        <w:tab/>
        <w:t>(f)</w:t>
      </w:r>
      <w:r w:rsidRPr="00D525A4">
        <w:tab/>
        <w:t>if the applicant is not an individual—information about the legal form of the applicant (such as a partnership, company or trust);</w:t>
      </w:r>
    </w:p>
    <w:p w14:paraId="7B153656" w14:textId="77777777" w:rsidR="00643B4C" w:rsidRPr="00D525A4" w:rsidRDefault="00643B4C" w:rsidP="00643B4C">
      <w:pPr>
        <w:pStyle w:val="paragraph"/>
      </w:pPr>
      <w:r w:rsidRPr="00D525A4">
        <w:tab/>
        <w:t>(g)</w:t>
      </w:r>
      <w:r w:rsidRPr="00D525A4">
        <w:tab/>
        <w:t>the names of any beneficial owners of the applicant;</w:t>
      </w:r>
    </w:p>
    <w:p w14:paraId="77D27E12" w14:textId="77777777" w:rsidR="00643B4C" w:rsidRPr="00D525A4" w:rsidRDefault="00643B4C" w:rsidP="00643B4C">
      <w:pPr>
        <w:pStyle w:val="paragraph"/>
      </w:pPr>
      <w:r w:rsidRPr="00D525A4">
        <w:tab/>
        <w:t>(h)</w:t>
      </w:r>
      <w:r w:rsidRPr="00D525A4">
        <w:tab/>
        <w:t>information on the number of employees employed by the applicant;</w:t>
      </w:r>
    </w:p>
    <w:p w14:paraId="613B6A0E" w14:textId="73E3FF35" w:rsidR="00643B4C" w:rsidRPr="00D525A4" w:rsidRDefault="00643B4C" w:rsidP="00643B4C">
      <w:pPr>
        <w:pStyle w:val="paragraph"/>
      </w:pPr>
      <w:r w:rsidRPr="00D525A4">
        <w:tab/>
        <w:t>(i)</w:t>
      </w:r>
      <w:r w:rsidRPr="00D525A4">
        <w:tab/>
        <w:t xml:space="preserve">if the applicant is an Australian resident (within the meaning of the </w:t>
      </w:r>
      <w:r w:rsidRPr="00D525A4">
        <w:rPr>
          <w:i/>
          <w:iCs/>
        </w:rPr>
        <w:t>Income Tax Assessment Act 1997</w:t>
      </w:r>
      <w:r w:rsidRPr="00D525A4">
        <w:t xml:space="preserve">)—whether the applicant was a small business entity (within the meaning of </w:t>
      </w:r>
      <w:r w:rsidR="0013261E" w:rsidRPr="00D525A4">
        <w:t>section 3</w:t>
      </w:r>
      <w:r w:rsidRPr="00D525A4">
        <w:t>28</w:t>
      </w:r>
      <w:r w:rsidR="00D525A4">
        <w:noBreakHyphen/>
      </w:r>
      <w:r w:rsidRPr="00D525A4">
        <w:t>110 of that Act) for the income year (within the meaning of that Act) corresponding to the previous financial year;</w:t>
      </w:r>
    </w:p>
    <w:p w14:paraId="3F607C1E" w14:textId="77777777" w:rsidR="00643B4C" w:rsidRPr="00D525A4" w:rsidRDefault="00643B4C" w:rsidP="00643B4C">
      <w:pPr>
        <w:pStyle w:val="paragraph"/>
      </w:pPr>
      <w:r w:rsidRPr="00D525A4">
        <w:tab/>
        <w:t>(j)</w:t>
      </w:r>
      <w:r w:rsidRPr="00D525A4">
        <w:tab/>
        <w:t>information identifying one or more associations of which the applicant is a member (if any) that represent the interests of a particular industry, profession or trade;</w:t>
      </w:r>
    </w:p>
    <w:p w14:paraId="73866D5A" w14:textId="77777777" w:rsidR="00643B4C" w:rsidRPr="00D525A4" w:rsidRDefault="00643B4C" w:rsidP="00643B4C">
      <w:pPr>
        <w:pStyle w:val="paragraph"/>
      </w:pPr>
      <w:r w:rsidRPr="00D525A4">
        <w:tab/>
        <w:t>(k)</w:t>
      </w:r>
      <w:r w:rsidRPr="00D525A4">
        <w:tab/>
        <w:t>the applicant’s telephone number;</w:t>
      </w:r>
    </w:p>
    <w:p w14:paraId="071E0977" w14:textId="77777777" w:rsidR="00643B4C" w:rsidRPr="00D525A4" w:rsidRDefault="00643B4C" w:rsidP="00643B4C">
      <w:pPr>
        <w:pStyle w:val="paragraph"/>
      </w:pPr>
      <w:r w:rsidRPr="00D525A4">
        <w:tab/>
        <w:t>(l)</w:t>
      </w:r>
      <w:r w:rsidRPr="00D525A4">
        <w:tab/>
        <w:t>the applicant’s email address;</w:t>
      </w:r>
    </w:p>
    <w:p w14:paraId="265DBFC5" w14:textId="77777777" w:rsidR="00643B4C" w:rsidRPr="00D525A4" w:rsidRDefault="00643B4C" w:rsidP="00643B4C">
      <w:pPr>
        <w:pStyle w:val="paragraph"/>
      </w:pPr>
      <w:r w:rsidRPr="00D525A4">
        <w:tab/>
        <w:t>(m)</w:t>
      </w:r>
      <w:r w:rsidRPr="00D525A4">
        <w:tab/>
        <w:t>the domain names for all websites (if any) through which the applicant provides or will provide its designated services;</w:t>
      </w:r>
    </w:p>
    <w:p w14:paraId="7592C27A" w14:textId="5BF11E31" w:rsidR="00643B4C" w:rsidRPr="00D525A4" w:rsidRDefault="00643B4C" w:rsidP="00643B4C">
      <w:pPr>
        <w:pStyle w:val="paragraph"/>
      </w:pPr>
      <w:r w:rsidRPr="00D525A4">
        <w:tab/>
        <w:t>(n)</w:t>
      </w:r>
      <w:r w:rsidRPr="00D525A4">
        <w:tab/>
        <w:t>a description of the applicant’s business or principal activity</w:t>
      </w:r>
      <w:r w:rsidR="00764C57" w:rsidRPr="00D525A4">
        <w:t>;</w:t>
      </w:r>
    </w:p>
    <w:p w14:paraId="00B5CCC0" w14:textId="0642E93A" w:rsidR="00764C57" w:rsidRPr="00D525A4" w:rsidRDefault="00764C57" w:rsidP="00643B4C">
      <w:pPr>
        <w:pStyle w:val="paragraph"/>
      </w:pPr>
      <w:r w:rsidRPr="00D525A4">
        <w:tab/>
        <w:t>(o)</w:t>
      </w:r>
      <w:r w:rsidRPr="00D525A4">
        <w:tab/>
        <w:t>the approximate annual turnover of the applicant for the most recent financial year.</w:t>
      </w:r>
    </w:p>
    <w:p w14:paraId="01746280" w14:textId="77777777" w:rsidR="00643B4C" w:rsidRPr="00D525A4" w:rsidRDefault="00643B4C" w:rsidP="00643B4C">
      <w:pPr>
        <w:pStyle w:val="SubsectionHead"/>
      </w:pPr>
      <w:r w:rsidRPr="00D525A4">
        <w:t>Information for bodies corporate</w:t>
      </w:r>
    </w:p>
    <w:p w14:paraId="68F377B4" w14:textId="77777777" w:rsidR="00643B4C" w:rsidRPr="00D525A4" w:rsidRDefault="00643B4C" w:rsidP="00643B4C">
      <w:pPr>
        <w:pStyle w:val="subsection"/>
      </w:pPr>
      <w:r w:rsidRPr="00D525A4">
        <w:tab/>
        <w:t>(2)</w:t>
      </w:r>
      <w:r w:rsidRPr="00D525A4">
        <w:tab/>
        <w:t>If the applicant is a body corporate, the application must contain the following information relating to the body corporate:</w:t>
      </w:r>
    </w:p>
    <w:p w14:paraId="5F441EDD" w14:textId="77777777" w:rsidR="00643B4C" w:rsidRPr="00D525A4" w:rsidRDefault="00643B4C" w:rsidP="00643B4C">
      <w:pPr>
        <w:pStyle w:val="paragraph"/>
      </w:pPr>
      <w:r w:rsidRPr="00D525A4">
        <w:tab/>
        <w:t>(a)</w:t>
      </w:r>
      <w:r w:rsidRPr="00D525A4">
        <w:tab/>
        <w:t>the full name of each director;</w:t>
      </w:r>
    </w:p>
    <w:p w14:paraId="5360EDDC" w14:textId="77777777" w:rsidR="00643B4C" w:rsidRPr="00D525A4" w:rsidRDefault="00643B4C" w:rsidP="00643B4C">
      <w:pPr>
        <w:pStyle w:val="paragraph"/>
      </w:pPr>
      <w:r w:rsidRPr="00D525A4">
        <w:lastRenderedPageBreak/>
        <w:tab/>
        <w:t>(b)</w:t>
      </w:r>
      <w:r w:rsidRPr="00D525A4">
        <w:tab/>
        <w:t>the date of birth of each director;</w:t>
      </w:r>
    </w:p>
    <w:p w14:paraId="4891E823" w14:textId="13FF6DA7" w:rsidR="00643B4C" w:rsidRPr="00D525A4" w:rsidRDefault="00643B4C" w:rsidP="00643B4C">
      <w:pPr>
        <w:pStyle w:val="paragraph"/>
      </w:pPr>
      <w:r w:rsidRPr="00D525A4">
        <w:tab/>
        <w:t>(c)</w:t>
      </w:r>
      <w:r w:rsidRPr="00D525A4">
        <w:tab/>
      </w:r>
      <w:r w:rsidR="00B0121F" w:rsidRPr="00D525A4">
        <w:t>the</w:t>
      </w:r>
      <w:r w:rsidRPr="00D525A4">
        <w:t xml:space="preserve"> director identification number (within the meaning of the </w:t>
      </w:r>
      <w:r w:rsidRPr="00D525A4">
        <w:rPr>
          <w:i/>
          <w:iCs/>
        </w:rPr>
        <w:t>Corporations Act 2001</w:t>
      </w:r>
      <w:r w:rsidRPr="00D525A4">
        <w:t xml:space="preserve">) </w:t>
      </w:r>
      <w:r w:rsidR="00B0121F" w:rsidRPr="00D525A4">
        <w:t xml:space="preserve">(if any) </w:t>
      </w:r>
      <w:r w:rsidRPr="00D525A4">
        <w:t xml:space="preserve">of </w:t>
      </w:r>
      <w:r w:rsidR="00B0121F" w:rsidRPr="00D525A4">
        <w:t xml:space="preserve">each </w:t>
      </w:r>
      <w:r w:rsidRPr="00D525A4">
        <w:t>eligible officer (within the meaning of that Act) of the body corporate;</w:t>
      </w:r>
    </w:p>
    <w:p w14:paraId="2083710A" w14:textId="77777777" w:rsidR="00643B4C" w:rsidRPr="00D525A4" w:rsidRDefault="00643B4C" w:rsidP="00643B4C">
      <w:pPr>
        <w:pStyle w:val="paragraph"/>
      </w:pPr>
      <w:r w:rsidRPr="00D525A4">
        <w:tab/>
        <w:t>(d)</w:t>
      </w:r>
      <w:r w:rsidRPr="00D525A4">
        <w:tab/>
        <w:t>the country in which the body corporate was incorporated and any countries in which it is registered;</w:t>
      </w:r>
    </w:p>
    <w:p w14:paraId="6D945CCE" w14:textId="77777777" w:rsidR="00643B4C" w:rsidRPr="00D525A4" w:rsidRDefault="00643B4C" w:rsidP="00643B4C">
      <w:pPr>
        <w:pStyle w:val="paragraph"/>
        <w:rPr>
          <w:iCs/>
        </w:rPr>
      </w:pPr>
      <w:r w:rsidRPr="00D525A4">
        <w:tab/>
        <w:t>(e)</w:t>
      </w:r>
      <w:r w:rsidRPr="00D525A4">
        <w:tab/>
        <w:t>if the body corporate was incorporated or is registered in any foreign country—the address of the principal place of business of the body corporate in</w:t>
      </w:r>
      <w:r w:rsidRPr="00D525A4">
        <w:rPr>
          <w:iCs/>
        </w:rPr>
        <w:t xml:space="preserve"> that foreign country.</w:t>
      </w:r>
    </w:p>
    <w:p w14:paraId="6FB9324F" w14:textId="77FD6BE6" w:rsidR="00643B4C" w:rsidRPr="00D525A4" w:rsidRDefault="00643B4C" w:rsidP="00643B4C">
      <w:pPr>
        <w:pStyle w:val="subsection"/>
      </w:pPr>
      <w:r w:rsidRPr="00D525A4">
        <w:tab/>
        <w:t>(</w:t>
      </w:r>
      <w:r w:rsidR="000B50E5" w:rsidRPr="00D525A4">
        <w:t>3</w:t>
      </w:r>
      <w:r w:rsidRPr="00D525A4">
        <w:t>)</w:t>
      </w:r>
      <w:r w:rsidRPr="00D525A4">
        <w:tab/>
        <w:t xml:space="preserve">If the applicant is a body corporate that has an ultimate holding company (within the meaning of the </w:t>
      </w:r>
      <w:r w:rsidRPr="00D525A4">
        <w:rPr>
          <w:i/>
          <w:iCs/>
        </w:rPr>
        <w:t>Corporations Act 2001</w:t>
      </w:r>
      <w:r w:rsidRPr="00D525A4">
        <w:t>), the application must contain the following information relating to the ultimate holding company:</w:t>
      </w:r>
    </w:p>
    <w:p w14:paraId="2ECBFB0F" w14:textId="77777777" w:rsidR="00643B4C" w:rsidRPr="00D525A4" w:rsidRDefault="00643B4C" w:rsidP="00643B4C">
      <w:pPr>
        <w:pStyle w:val="paragraph"/>
      </w:pPr>
      <w:r w:rsidRPr="00D525A4">
        <w:tab/>
        <w:t>(a)</w:t>
      </w:r>
      <w:r w:rsidRPr="00D525A4">
        <w:tab/>
        <w:t>the name of the ultimate holding company;</w:t>
      </w:r>
    </w:p>
    <w:p w14:paraId="626B39C0" w14:textId="77777777" w:rsidR="00643B4C" w:rsidRPr="00D525A4" w:rsidRDefault="00643B4C" w:rsidP="00643B4C">
      <w:pPr>
        <w:pStyle w:val="paragraph"/>
      </w:pPr>
      <w:r w:rsidRPr="00D525A4">
        <w:tab/>
        <w:t>(b)</w:t>
      </w:r>
      <w:r w:rsidRPr="00D525A4">
        <w:tab/>
        <w:t>the address of the principal place of business and the registered office of the ultimate holding company;</w:t>
      </w:r>
    </w:p>
    <w:p w14:paraId="469369A5" w14:textId="77777777" w:rsidR="00643B4C" w:rsidRPr="00D525A4" w:rsidRDefault="00643B4C" w:rsidP="00643B4C">
      <w:pPr>
        <w:pStyle w:val="paragraph"/>
      </w:pPr>
      <w:r w:rsidRPr="00D525A4">
        <w:tab/>
        <w:t>(c)</w:t>
      </w:r>
      <w:r w:rsidRPr="00D525A4">
        <w:tab/>
        <w:t>the country or countries of which the ultimate holding company is a resident;</w:t>
      </w:r>
    </w:p>
    <w:p w14:paraId="2048B230" w14:textId="30AA9F11" w:rsidR="00643B4C" w:rsidRPr="00D525A4" w:rsidRDefault="00643B4C" w:rsidP="00643B4C">
      <w:pPr>
        <w:pStyle w:val="paragraph"/>
      </w:pPr>
      <w:r w:rsidRPr="00D525A4">
        <w:tab/>
        <w:t>(d)</w:t>
      </w:r>
      <w:r w:rsidRPr="00D525A4">
        <w:tab/>
        <w:t>a unique identifier for the ultimate holding company.</w:t>
      </w:r>
    </w:p>
    <w:p w14:paraId="1FE8ADB6" w14:textId="77777777" w:rsidR="00643B4C" w:rsidRPr="00D525A4" w:rsidRDefault="00643B4C" w:rsidP="00643B4C">
      <w:pPr>
        <w:pStyle w:val="SubsectionHead"/>
      </w:pPr>
      <w:r w:rsidRPr="00D525A4">
        <w:t>Information for government bodies</w:t>
      </w:r>
    </w:p>
    <w:p w14:paraId="3C5CE387" w14:textId="10F057C7" w:rsidR="00643B4C" w:rsidRPr="00D525A4" w:rsidRDefault="00643B4C" w:rsidP="00643B4C">
      <w:pPr>
        <w:pStyle w:val="subsection"/>
      </w:pPr>
      <w:r w:rsidRPr="00D525A4">
        <w:tab/>
        <w:t>(</w:t>
      </w:r>
      <w:r w:rsidR="000B50E5" w:rsidRPr="00D525A4">
        <w:t>4</w:t>
      </w:r>
      <w:r w:rsidRPr="00D525A4">
        <w:t>)</w:t>
      </w:r>
      <w:r w:rsidRPr="00D525A4">
        <w:tab/>
        <w:t>If the applicant is a government body, the application must contain the following information relating to the applicant:</w:t>
      </w:r>
    </w:p>
    <w:p w14:paraId="529185AA" w14:textId="77777777" w:rsidR="00643B4C" w:rsidRPr="00D525A4" w:rsidRDefault="00643B4C" w:rsidP="00643B4C">
      <w:pPr>
        <w:pStyle w:val="paragraph"/>
      </w:pPr>
      <w:r w:rsidRPr="00D525A4">
        <w:tab/>
        <w:t>(a)</w:t>
      </w:r>
      <w:r w:rsidRPr="00D525A4">
        <w:tab/>
        <w:t>whether the applicant is an Australian government body;</w:t>
      </w:r>
    </w:p>
    <w:p w14:paraId="33C19982" w14:textId="77777777" w:rsidR="00643B4C" w:rsidRPr="00D525A4" w:rsidRDefault="00643B4C" w:rsidP="00643B4C">
      <w:pPr>
        <w:pStyle w:val="paragraph"/>
      </w:pPr>
      <w:r w:rsidRPr="00D525A4">
        <w:tab/>
        <w:t>(b)</w:t>
      </w:r>
      <w:r w:rsidRPr="00D525A4">
        <w:tab/>
        <w:t>if the applicant is not an Australian government body—the foreign country in which the applicant is established.</w:t>
      </w:r>
    </w:p>
    <w:p w14:paraId="252AE665" w14:textId="77777777" w:rsidR="00643B4C" w:rsidRPr="00D525A4" w:rsidRDefault="00643B4C" w:rsidP="00643B4C">
      <w:pPr>
        <w:pStyle w:val="SubsectionHead"/>
      </w:pPr>
      <w:r w:rsidRPr="00D525A4">
        <w:t>Information for partnerships</w:t>
      </w:r>
    </w:p>
    <w:p w14:paraId="79D5862E" w14:textId="5794CB61" w:rsidR="00643B4C" w:rsidRPr="00D525A4" w:rsidRDefault="00643B4C" w:rsidP="00643B4C">
      <w:pPr>
        <w:pStyle w:val="subsection"/>
      </w:pPr>
      <w:r w:rsidRPr="00D525A4">
        <w:tab/>
        <w:t>(</w:t>
      </w:r>
      <w:r w:rsidR="000B50E5" w:rsidRPr="00D525A4">
        <w:t>5</w:t>
      </w:r>
      <w:r w:rsidRPr="00D525A4">
        <w:t>)</w:t>
      </w:r>
      <w:r w:rsidRPr="00D525A4">
        <w:tab/>
        <w:t>If the applicant is a partnership, the application must contain the following information in relation to each partner:</w:t>
      </w:r>
    </w:p>
    <w:p w14:paraId="0F899C95" w14:textId="77777777" w:rsidR="00643B4C" w:rsidRPr="00D525A4" w:rsidRDefault="00643B4C" w:rsidP="00643B4C">
      <w:pPr>
        <w:pStyle w:val="paragraph"/>
      </w:pPr>
      <w:r w:rsidRPr="00D525A4">
        <w:tab/>
        <w:t>(a)</w:t>
      </w:r>
      <w:r w:rsidRPr="00D525A4">
        <w:tab/>
        <w:t>for a partner that is an individual (other than a trustee):</w:t>
      </w:r>
    </w:p>
    <w:p w14:paraId="2D48BC00" w14:textId="77777777" w:rsidR="00643B4C" w:rsidRPr="00D525A4" w:rsidRDefault="00643B4C" w:rsidP="00643B4C">
      <w:pPr>
        <w:pStyle w:val="paragraphsub"/>
      </w:pPr>
      <w:r w:rsidRPr="00D525A4">
        <w:tab/>
        <w:t>(i)</w:t>
      </w:r>
      <w:r w:rsidRPr="00D525A4">
        <w:tab/>
        <w:t>the individual’s full name and any former names of the individual; and</w:t>
      </w:r>
    </w:p>
    <w:p w14:paraId="5A61047F" w14:textId="77777777" w:rsidR="00643B4C" w:rsidRPr="00D525A4" w:rsidRDefault="00643B4C" w:rsidP="00643B4C">
      <w:pPr>
        <w:pStyle w:val="paragraphsub"/>
      </w:pPr>
      <w:r w:rsidRPr="00D525A4">
        <w:tab/>
        <w:t>(ii)</w:t>
      </w:r>
      <w:r w:rsidRPr="00D525A4">
        <w:tab/>
        <w:t>the individual’s residential address; and</w:t>
      </w:r>
    </w:p>
    <w:p w14:paraId="56F65454" w14:textId="77777777" w:rsidR="00643B4C" w:rsidRPr="00D525A4" w:rsidRDefault="00643B4C" w:rsidP="00643B4C">
      <w:pPr>
        <w:pStyle w:val="paragraphsub"/>
      </w:pPr>
      <w:r w:rsidRPr="00D525A4">
        <w:tab/>
        <w:t>(iii)</w:t>
      </w:r>
      <w:r w:rsidRPr="00D525A4">
        <w:tab/>
        <w:t>the individual’s date and place of birth; and</w:t>
      </w:r>
    </w:p>
    <w:p w14:paraId="430DEC56" w14:textId="50072E93" w:rsidR="00643B4C" w:rsidRPr="00D525A4" w:rsidRDefault="00643B4C" w:rsidP="00643B4C">
      <w:pPr>
        <w:pStyle w:val="paragraphsub"/>
      </w:pPr>
      <w:r w:rsidRPr="00D525A4">
        <w:tab/>
        <w:t>(iv)</w:t>
      </w:r>
      <w:r w:rsidRPr="00D525A4">
        <w:tab/>
        <w:t xml:space="preserve">a unique identifier for the individual given by an Australian government body or </w:t>
      </w:r>
      <w:r w:rsidR="007E6272" w:rsidRPr="00D525A4">
        <w:t>a government body of a</w:t>
      </w:r>
      <w:r w:rsidRPr="00D525A4">
        <w:t xml:space="preserve"> foreign country;</w:t>
      </w:r>
    </w:p>
    <w:p w14:paraId="08308692" w14:textId="72FA8F56" w:rsidR="00643B4C" w:rsidRPr="00D525A4" w:rsidRDefault="00643B4C" w:rsidP="00643B4C">
      <w:pPr>
        <w:pStyle w:val="paragraph"/>
      </w:pPr>
      <w:r w:rsidRPr="00D525A4">
        <w:tab/>
        <w:t>(b)</w:t>
      </w:r>
      <w:r w:rsidRPr="00D525A4">
        <w:tab/>
        <w:t xml:space="preserve">for a partner that is a body corporate (other than a trustee)—the information mentioned in </w:t>
      </w:r>
      <w:r w:rsidR="0010391B" w:rsidRPr="00D525A4">
        <w:t>paragraphs (</w:t>
      </w:r>
      <w:r w:rsidRPr="00D525A4">
        <w:t>2)(a) to (e), in relation to the partner;</w:t>
      </w:r>
    </w:p>
    <w:p w14:paraId="21D1819D" w14:textId="7DC069C0" w:rsidR="000D65C7" w:rsidRPr="00D525A4" w:rsidRDefault="000D65C7" w:rsidP="00643B4C">
      <w:pPr>
        <w:pStyle w:val="paragraph"/>
      </w:pPr>
      <w:r w:rsidRPr="00D525A4">
        <w:tab/>
        <w:t>(c)</w:t>
      </w:r>
      <w:r w:rsidRPr="00D525A4">
        <w:tab/>
        <w:t xml:space="preserve">for a partner that is an association—the information mentioned in </w:t>
      </w:r>
      <w:r w:rsidR="009F59ED" w:rsidRPr="00D525A4">
        <w:t>subsection (</w:t>
      </w:r>
      <w:r w:rsidRPr="00D525A4">
        <w:t>7) in relation to the association;</w:t>
      </w:r>
    </w:p>
    <w:p w14:paraId="48A75506" w14:textId="104C87A7" w:rsidR="00643B4C" w:rsidRPr="00D525A4" w:rsidRDefault="00643B4C" w:rsidP="00643B4C">
      <w:pPr>
        <w:pStyle w:val="paragraph"/>
      </w:pPr>
      <w:r w:rsidRPr="00D525A4">
        <w:tab/>
        <w:t>(</w:t>
      </w:r>
      <w:r w:rsidR="000D65C7" w:rsidRPr="00D525A4">
        <w:t>d</w:t>
      </w:r>
      <w:r w:rsidRPr="00D525A4">
        <w:t>)</w:t>
      </w:r>
      <w:r w:rsidRPr="00D525A4">
        <w:tab/>
        <w:t>for a partner that is a trustee of a trust:</w:t>
      </w:r>
    </w:p>
    <w:p w14:paraId="567593AE" w14:textId="77777777" w:rsidR="00643B4C" w:rsidRPr="00D525A4" w:rsidRDefault="00643B4C" w:rsidP="00643B4C">
      <w:pPr>
        <w:pStyle w:val="paragraphsub"/>
      </w:pPr>
      <w:r w:rsidRPr="00D525A4">
        <w:tab/>
        <w:t>(i)</w:t>
      </w:r>
      <w:r w:rsidRPr="00D525A4">
        <w:tab/>
        <w:t>the name of the trust; and</w:t>
      </w:r>
    </w:p>
    <w:p w14:paraId="77AF6581" w14:textId="292DD381" w:rsidR="00643B4C" w:rsidRPr="00D525A4" w:rsidRDefault="00643B4C" w:rsidP="00643B4C">
      <w:pPr>
        <w:pStyle w:val="paragraphsub"/>
      </w:pPr>
      <w:r w:rsidRPr="00D525A4">
        <w:tab/>
        <w:t>(ii)</w:t>
      </w:r>
      <w:r w:rsidRPr="00D525A4">
        <w:tab/>
        <w:t xml:space="preserve">the information mentioned in </w:t>
      </w:r>
      <w:r w:rsidR="0010391B" w:rsidRPr="00D525A4">
        <w:t>paragraphs (</w:t>
      </w:r>
      <w:r w:rsidR="000B50E5" w:rsidRPr="00D525A4">
        <w:t>6</w:t>
      </w:r>
      <w:r w:rsidRPr="00D525A4">
        <w:t>)(a) to (d), in relation to the trust</w:t>
      </w:r>
      <w:r w:rsidR="000D65C7" w:rsidRPr="00D525A4">
        <w:t>.</w:t>
      </w:r>
    </w:p>
    <w:p w14:paraId="1ED60A44" w14:textId="77777777" w:rsidR="00643B4C" w:rsidRPr="00D525A4" w:rsidRDefault="00643B4C" w:rsidP="00643B4C">
      <w:pPr>
        <w:pStyle w:val="SubsectionHead"/>
      </w:pPr>
      <w:r w:rsidRPr="00D525A4">
        <w:lastRenderedPageBreak/>
        <w:t>Information for trusts</w:t>
      </w:r>
    </w:p>
    <w:p w14:paraId="145484AF" w14:textId="53438503" w:rsidR="00643B4C" w:rsidRPr="00D525A4" w:rsidRDefault="00643B4C" w:rsidP="00643B4C">
      <w:pPr>
        <w:pStyle w:val="subsection"/>
      </w:pPr>
      <w:r w:rsidRPr="00D525A4">
        <w:tab/>
        <w:t>(</w:t>
      </w:r>
      <w:r w:rsidR="000B50E5" w:rsidRPr="00D525A4">
        <w:t>6</w:t>
      </w:r>
      <w:r w:rsidRPr="00D525A4">
        <w:t>)</w:t>
      </w:r>
      <w:r w:rsidRPr="00D525A4">
        <w:tab/>
        <w:t>If the applicant is a trust, the application must contain the following information relating to the trust:</w:t>
      </w:r>
    </w:p>
    <w:p w14:paraId="0972E6F9" w14:textId="77777777" w:rsidR="00643B4C" w:rsidRPr="00D525A4" w:rsidRDefault="00643B4C" w:rsidP="00643B4C">
      <w:pPr>
        <w:pStyle w:val="paragraph"/>
      </w:pPr>
      <w:r w:rsidRPr="00D525A4">
        <w:tab/>
        <w:t>(a)</w:t>
      </w:r>
      <w:r w:rsidRPr="00D525A4">
        <w:tab/>
        <w:t>the kind of trust (such as discretionary trust, bare trust or unit trust);</w:t>
      </w:r>
    </w:p>
    <w:p w14:paraId="1813972E" w14:textId="77777777" w:rsidR="00643B4C" w:rsidRPr="00D525A4" w:rsidRDefault="00643B4C" w:rsidP="00643B4C">
      <w:pPr>
        <w:pStyle w:val="paragraph"/>
      </w:pPr>
      <w:r w:rsidRPr="00D525A4">
        <w:tab/>
        <w:t>(b)</w:t>
      </w:r>
      <w:r w:rsidRPr="00D525A4">
        <w:tab/>
        <w:t>any former names of the trust;</w:t>
      </w:r>
    </w:p>
    <w:p w14:paraId="429B8672" w14:textId="574DF9A2" w:rsidR="00643B4C" w:rsidRPr="00D525A4" w:rsidRDefault="00643B4C" w:rsidP="00643B4C">
      <w:pPr>
        <w:pStyle w:val="paragraph"/>
      </w:pPr>
      <w:r w:rsidRPr="00D525A4">
        <w:tab/>
        <w:t>(c)</w:t>
      </w:r>
      <w:r w:rsidRPr="00D525A4">
        <w:tab/>
        <w:t xml:space="preserve">for </w:t>
      </w:r>
      <w:r w:rsidR="000D65C7" w:rsidRPr="00D525A4">
        <w:t>any</w:t>
      </w:r>
      <w:r w:rsidRPr="00D525A4">
        <w:t xml:space="preserve"> trustee that is an individual—the information mentioned in </w:t>
      </w:r>
      <w:r w:rsidR="0013261E" w:rsidRPr="00D525A4">
        <w:t>sub</w:t>
      </w:r>
      <w:r w:rsidR="0010391B" w:rsidRPr="00D525A4">
        <w:t>paragraphs (</w:t>
      </w:r>
      <w:r w:rsidR="000B50E5" w:rsidRPr="00D525A4">
        <w:t>5</w:t>
      </w:r>
      <w:r w:rsidRPr="00D525A4">
        <w:t>)(a)(i) to (iv), in relation to the trustee;</w:t>
      </w:r>
    </w:p>
    <w:p w14:paraId="2AF076CE" w14:textId="0EA5E516" w:rsidR="000D65C7" w:rsidRPr="00D525A4" w:rsidRDefault="00643B4C" w:rsidP="000D65C7">
      <w:pPr>
        <w:pStyle w:val="paragraph"/>
      </w:pPr>
      <w:r w:rsidRPr="00D525A4">
        <w:tab/>
        <w:t>(d)</w:t>
      </w:r>
      <w:r w:rsidRPr="00D525A4">
        <w:tab/>
        <w:t xml:space="preserve">for </w:t>
      </w:r>
      <w:r w:rsidR="000D65C7" w:rsidRPr="00D525A4">
        <w:t>any</w:t>
      </w:r>
      <w:r w:rsidRPr="00D525A4">
        <w:t xml:space="preserve"> trustee that is a body corporate—the information mentioned in </w:t>
      </w:r>
      <w:r w:rsidR="0010391B" w:rsidRPr="00D525A4">
        <w:t>paragraphs (</w:t>
      </w:r>
      <w:r w:rsidRPr="00D525A4">
        <w:t>2)(a) to (e), in relation to the trustee</w:t>
      </w:r>
      <w:r w:rsidR="000D65C7" w:rsidRPr="00D525A4">
        <w:t>.</w:t>
      </w:r>
    </w:p>
    <w:p w14:paraId="7B6CBB75" w14:textId="207E15FA" w:rsidR="00643B4C" w:rsidRPr="00D525A4" w:rsidRDefault="00643B4C" w:rsidP="00643B4C">
      <w:pPr>
        <w:pStyle w:val="SubsectionHead"/>
      </w:pPr>
      <w:r w:rsidRPr="00D525A4">
        <w:t>Information for associations or co</w:t>
      </w:r>
      <w:r w:rsidR="00D525A4">
        <w:noBreakHyphen/>
      </w:r>
      <w:r w:rsidRPr="00D525A4">
        <w:t>operatives</w:t>
      </w:r>
    </w:p>
    <w:p w14:paraId="15607FA7" w14:textId="4F3CE2B4" w:rsidR="00643B4C" w:rsidRPr="00D525A4" w:rsidRDefault="00643B4C" w:rsidP="00643B4C">
      <w:pPr>
        <w:pStyle w:val="subsection"/>
      </w:pPr>
      <w:r w:rsidRPr="00D525A4">
        <w:tab/>
        <w:t>(</w:t>
      </w:r>
      <w:r w:rsidR="000B50E5" w:rsidRPr="00D525A4">
        <w:t>7</w:t>
      </w:r>
      <w:r w:rsidRPr="00D525A4">
        <w:t>)</w:t>
      </w:r>
      <w:r w:rsidRPr="00D525A4">
        <w:tab/>
        <w:t>If the applicant is an incorporated association, an unincorporated association or a co</w:t>
      </w:r>
      <w:r w:rsidR="00D525A4">
        <w:noBreakHyphen/>
      </w:r>
      <w:r w:rsidRPr="00D525A4">
        <w:t xml:space="preserve">operative, the application must contain the information mentioned in </w:t>
      </w:r>
      <w:r w:rsidR="0013261E" w:rsidRPr="00D525A4">
        <w:t>sub</w:t>
      </w:r>
      <w:r w:rsidR="0010391B" w:rsidRPr="00D525A4">
        <w:t>paragraphs (</w:t>
      </w:r>
      <w:r w:rsidR="000B50E5" w:rsidRPr="00D525A4">
        <w:t>5</w:t>
      </w:r>
      <w:r w:rsidRPr="00D525A4">
        <w:t>)(a)(i) to (iv) in relation to the individual, or each member of a group of individuals, with primary responsibility for the governance and executive decisions of the association or co</w:t>
      </w:r>
      <w:r w:rsidR="00D525A4">
        <w:noBreakHyphen/>
      </w:r>
      <w:r w:rsidRPr="00D525A4">
        <w:t>operative.</w:t>
      </w:r>
    </w:p>
    <w:p w14:paraId="320DDECB" w14:textId="77777777" w:rsidR="00643B4C" w:rsidRPr="00D525A4" w:rsidRDefault="00643B4C" w:rsidP="00643B4C">
      <w:pPr>
        <w:pStyle w:val="SubsectionHead"/>
      </w:pPr>
      <w:r w:rsidRPr="00D525A4">
        <w:t>Information relating to reporting group</w:t>
      </w:r>
    </w:p>
    <w:p w14:paraId="5928E344" w14:textId="4C5AE46D" w:rsidR="00643B4C" w:rsidRPr="00D525A4" w:rsidRDefault="00643B4C" w:rsidP="00643B4C">
      <w:pPr>
        <w:pStyle w:val="subsection"/>
      </w:pPr>
      <w:r w:rsidRPr="00D525A4">
        <w:tab/>
        <w:t>(</w:t>
      </w:r>
      <w:r w:rsidR="000B50E5" w:rsidRPr="00D525A4">
        <w:t>8</w:t>
      </w:r>
      <w:r w:rsidRPr="00D525A4">
        <w:t>)</w:t>
      </w:r>
      <w:r w:rsidRPr="00D525A4">
        <w:tab/>
        <w:t>The application must contain the following information:</w:t>
      </w:r>
    </w:p>
    <w:p w14:paraId="10A39986" w14:textId="77777777" w:rsidR="00643B4C" w:rsidRPr="00D525A4" w:rsidRDefault="00643B4C" w:rsidP="00643B4C">
      <w:pPr>
        <w:pStyle w:val="paragraph"/>
      </w:pPr>
      <w:r w:rsidRPr="00D525A4">
        <w:tab/>
        <w:t>(a)</w:t>
      </w:r>
      <w:r w:rsidRPr="00D525A4">
        <w:tab/>
        <w:t>whether the applicant is a member of a reporting group;</w:t>
      </w:r>
    </w:p>
    <w:p w14:paraId="6F4559C8" w14:textId="77777777" w:rsidR="00643B4C" w:rsidRPr="00D525A4" w:rsidRDefault="00643B4C" w:rsidP="00643B4C">
      <w:pPr>
        <w:pStyle w:val="paragraph"/>
      </w:pPr>
      <w:r w:rsidRPr="00D525A4">
        <w:tab/>
        <w:t>(b)</w:t>
      </w:r>
      <w:r w:rsidRPr="00D525A4">
        <w:tab/>
        <w:t>whether the applicant is the lead entity of a reporting group;</w:t>
      </w:r>
    </w:p>
    <w:p w14:paraId="52923F06" w14:textId="77777777" w:rsidR="00643B4C" w:rsidRPr="00D525A4" w:rsidRDefault="00643B4C" w:rsidP="00643B4C">
      <w:pPr>
        <w:pStyle w:val="paragraph"/>
      </w:pPr>
      <w:r w:rsidRPr="00D525A4">
        <w:tab/>
        <w:t>(c)</w:t>
      </w:r>
      <w:r w:rsidRPr="00D525A4">
        <w:tab/>
        <w:t>if the applicant is a member of a reporting group and is not the lead entity of the reporting group—the following information about the lead entity:</w:t>
      </w:r>
    </w:p>
    <w:p w14:paraId="4F889C46" w14:textId="77777777" w:rsidR="00643B4C" w:rsidRPr="00D525A4" w:rsidRDefault="00643B4C" w:rsidP="00643B4C">
      <w:pPr>
        <w:pStyle w:val="paragraphsub"/>
      </w:pPr>
      <w:r w:rsidRPr="00D525A4">
        <w:tab/>
        <w:t>(i)</w:t>
      </w:r>
      <w:r w:rsidRPr="00D525A4">
        <w:tab/>
        <w:t>the name of the lead entity;</w:t>
      </w:r>
    </w:p>
    <w:p w14:paraId="46E01421" w14:textId="7333AF5C" w:rsidR="00643B4C" w:rsidRPr="00D525A4" w:rsidRDefault="00643B4C" w:rsidP="00643B4C">
      <w:pPr>
        <w:pStyle w:val="paragraphsub"/>
      </w:pPr>
      <w:r w:rsidRPr="00D525A4">
        <w:tab/>
        <w:t>(ii)</w:t>
      </w:r>
      <w:r w:rsidRPr="00D525A4">
        <w:tab/>
        <w:t xml:space="preserve">the </w:t>
      </w:r>
      <w:r w:rsidR="006E39FD" w:rsidRPr="00D525A4">
        <w:t>identifier assigned</w:t>
      </w:r>
      <w:r w:rsidRPr="00D525A4">
        <w:t xml:space="preserve"> </w:t>
      </w:r>
      <w:r w:rsidR="006E39FD" w:rsidRPr="00D525A4">
        <w:t xml:space="preserve">to the lead entity </w:t>
      </w:r>
      <w:r w:rsidRPr="00D525A4">
        <w:t>by AUSTRAC;</w:t>
      </w:r>
    </w:p>
    <w:p w14:paraId="1D7102A4" w14:textId="0C6032D4" w:rsidR="00643B4C" w:rsidRPr="00D525A4" w:rsidRDefault="00643B4C" w:rsidP="00643B4C">
      <w:pPr>
        <w:pStyle w:val="paragraphsub"/>
      </w:pPr>
      <w:r w:rsidRPr="00D525A4">
        <w:tab/>
        <w:t>(iii)</w:t>
      </w:r>
      <w:r w:rsidRPr="00D525A4">
        <w:tab/>
        <w:t>another unique identifier for the lead entity.</w:t>
      </w:r>
    </w:p>
    <w:p w14:paraId="5CEC75D5" w14:textId="70479903" w:rsidR="00643B4C" w:rsidRPr="00D525A4" w:rsidRDefault="00EC097E" w:rsidP="00643B4C">
      <w:pPr>
        <w:pStyle w:val="ActHead5"/>
      </w:pPr>
      <w:bookmarkStart w:id="21" w:name="_Toc198224912"/>
      <w:r w:rsidRPr="00D525A4">
        <w:rPr>
          <w:rStyle w:val="CharSectno"/>
        </w:rPr>
        <w:t>2</w:t>
      </w:r>
      <w:r w:rsidR="00D525A4">
        <w:rPr>
          <w:rStyle w:val="CharSectno"/>
        </w:rPr>
        <w:noBreakHyphen/>
      </w:r>
      <w:r w:rsidRPr="00D525A4">
        <w:rPr>
          <w:rStyle w:val="CharSectno"/>
        </w:rPr>
        <w:t>4</w:t>
      </w:r>
      <w:r w:rsidR="00643B4C" w:rsidRPr="00D525A4">
        <w:t xml:space="preserve">  Information about the person completing the application and declaration</w:t>
      </w:r>
      <w:bookmarkEnd w:id="21"/>
    </w:p>
    <w:p w14:paraId="76714CCF" w14:textId="77777777" w:rsidR="00643B4C" w:rsidRPr="00D525A4" w:rsidRDefault="00643B4C" w:rsidP="00643B4C">
      <w:pPr>
        <w:pStyle w:val="SubsectionHead"/>
      </w:pPr>
      <w:r w:rsidRPr="00D525A4">
        <w:t>Information about the individual completing the enrolment application</w:t>
      </w:r>
    </w:p>
    <w:p w14:paraId="739C98A2" w14:textId="77777777" w:rsidR="00643B4C" w:rsidRPr="00D525A4" w:rsidRDefault="00643B4C" w:rsidP="00643B4C">
      <w:pPr>
        <w:pStyle w:val="subsection"/>
      </w:pPr>
      <w:r w:rsidRPr="00D525A4">
        <w:tab/>
        <w:t>(1)</w:t>
      </w:r>
      <w:r w:rsidRPr="00D525A4">
        <w:tab/>
        <w:t>The application must contain the following information relating to the individual completing the application:</w:t>
      </w:r>
    </w:p>
    <w:p w14:paraId="59986D5F" w14:textId="77777777" w:rsidR="00643B4C" w:rsidRPr="00D525A4" w:rsidRDefault="00643B4C" w:rsidP="00643B4C">
      <w:pPr>
        <w:pStyle w:val="paragraph"/>
      </w:pPr>
      <w:r w:rsidRPr="00D525A4">
        <w:tab/>
        <w:t>(a)</w:t>
      </w:r>
      <w:r w:rsidRPr="00D525A4">
        <w:tab/>
        <w:t>the individual’s full name;</w:t>
      </w:r>
    </w:p>
    <w:p w14:paraId="47A8AC5A" w14:textId="77777777" w:rsidR="00643B4C" w:rsidRPr="00D525A4" w:rsidRDefault="00643B4C" w:rsidP="00643B4C">
      <w:pPr>
        <w:pStyle w:val="paragraph"/>
      </w:pPr>
      <w:r w:rsidRPr="00D525A4">
        <w:tab/>
        <w:t>(b)</w:t>
      </w:r>
      <w:r w:rsidRPr="00D525A4">
        <w:tab/>
        <w:t>the individual’s job title or position;</w:t>
      </w:r>
    </w:p>
    <w:p w14:paraId="2CE8E68B" w14:textId="77777777" w:rsidR="00643B4C" w:rsidRPr="00D525A4" w:rsidRDefault="00643B4C" w:rsidP="00643B4C">
      <w:pPr>
        <w:pStyle w:val="paragraph"/>
      </w:pPr>
      <w:r w:rsidRPr="00D525A4">
        <w:tab/>
        <w:t>(c)</w:t>
      </w:r>
      <w:r w:rsidRPr="00D525A4">
        <w:tab/>
        <w:t>information on the individual’s role or relationship in relation to the applicant;</w:t>
      </w:r>
    </w:p>
    <w:p w14:paraId="7DE120E8" w14:textId="77777777" w:rsidR="00643B4C" w:rsidRPr="00D525A4" w:rsidRDefault="00643B4C" w:rsidP="00643B4C">
      <w:pPr>
        <w:pStyle w:val="paragraph"/>
      </w:pPr>
      <w:r w:rsidRPr="00D525A4">
        <w:tab/>
        <w:t>(d)</w:t>
      </w:r>
      <w:r w:rsidRPr="00D525A4">
        <w:tab/>
        <w:t>the individual’s telephone number;</w:t>
      </w:r>
    </w:p>
    <w:p w14:paraId="40B8703F" w14:textId="77777777" w:rsidR="00643B4C" w:rsidRPr="00D525A4" w:rsidRDefault="00643B4C" w:rsidP="00643B4C">
      <w:pPr>
        <w:pStyle w:val="paragraph"/>
      </w:pPr>
      <w:r w:rsidRPr="00D525A4">
        <w:tab/>
        <w:t>(e)</w:t>
      </w:r>
      <w:r w:rsidRPr="00D525A4">
        <w:tab/>
        <w:t>the individual’s email address.</w:t>
      </w:r>
    </w:p>
    <w:p w14:paraId="7EB70669" w14:textId="77777777" w:rsidR="00643B4C" w:rsidRPr="00D525A4" w:rsidRDefault="00643B4C" w:rsidP="00643B4C">
      <w:pPr>
        <w:pStyle w:val="SubsectionHead"/>
      </w:pPr>
      <w:r w:rsidRPr="00D525A4">
        <w:t>Declaration by the individual completing the application</w:t>
      </w:r>
    </w:p>
    <w:p w14:paraId="4E7DEF11" w14:textId="45D51B40" w:rsidR="00643B4C" w:rsidRPr="00D525A4" w:rsidRDefault="00643B4C" w:rsidP="00643B4C">
      <w:pPr>
        <w:pStyle w:val="subsection"/>
      </w:pPr>
      <w:r w:rsidRPr="00D525A4">
        <w:tab/>
        <w:t>(2)</w:t>
      </w:r>
      <w:r w:rsidRPr="00D525A4">
        <w:tab/>
        <w:t xml:space="preserve">The application must contain a declaration by the individual completing the application that the information contained in the application is true and </w:t>
      </w:r>
      <w:r w:rsidR="009A6B27" w:rsidRPr="00D525A4">
        <w:t>correct</w:t>
      </w:r>
      <w:r w:rsidRPr="00D525A4">
        <w:t>.</w:t>
      </w:r>
    </w:p>
    <w:p w14:paraId="50494201" w14:textId="77777777" w:rsidR="00643B4C" w:rsidRPr="00D525A4" w:rsidRDefault="00643B4C" w:rsidP="00CF763D">
      <w:pPr>
        <w:pStyle w:val="ActHead3"/>
        <w:pageBreakBefore/>
      </w:pPr>
      <w:bookmarkStart w:id="22" w:name="_Toc198224913"/>
      <w:r w:rsidRPr="00D525A4">
        <w:rPr>
          <w:rStyle w:val="CharDivNo"/>
        </w:rPr>
        <w:lastRenderedPageBreak/>
        <w:t>Division 2</w:t>
      </w:r>
      <w:r w:rsidRPr="00D525A4">
        <w:t>—</w:t>
      </w:r>
      <w:r w:rsidRPr="00D525A4">
        <w:rPr>
          <w:rStyle w:val="CharDivText"/>
        </w:rPr>
        <w:t>Correction and removal of enrolment details</w:t>
      </w:r>
      <w:bookmarkEnd w:id="22"/>
    </w:p>
    <w:p w14:paraId="2576109C" w14:textId="1ED2D1D3" w:rsidR="00643B4C" w:rsidRPr="00D525A4" w:rsidRDefault="00EC097E" w:rsidP="00643B4C">
      <w:pPr>
        <w:pStyle w:val="ActHead5"/>
      </w:pPr>
      <w:bookmarkStart w:id="23" w:name="_Toc198224914"/>
      <w:r w:rsidRPr="00D525A4">
        <w:rPr>
          <w:rStyle w:val="CharSectno"/>
        </w:rPr>
        <w:t>2</w:t>
      </w:r>
      <w:r w:rsidR="00D525A4">
        <w:rPr>
          <w:rStyle w:val="CharSectno"/>
        </w:rPr>
        <w:noBreakHyphen/>
      </w:r>
      <w:r w:rsidRPr="00D525A4">
        <w:rPr>
          <w:rStyle w:val="CharSectno"/>
        </w:rPr>
        <w:t>5</w:t>
      </w:r>
      <w:r w:rsidR="00643B4C" w:rsidRPr="00D525A4">
        <w:t xml:space="preserve">  Correction of entries in the Reporting Entities Roll</w:t>
      </w:r>
      <w:bookmarkEnd w:id="23"/>
    </w:p>
    <w:p w14:paraId="3D67E7E5" w14:textId="77777777" w:rsidR="00643B4C" w:rsidRPr="00D525A4" w:rsidRDefault="00643B4C" w:rsidP="00643B4C">
      <w:pPr>
        <w:pStyle w:val="subsection"/>
      </w:pPr>
      <w:r w:rsidRPr="00D525A4">
        <w:tab/>
      </w:r>
      <w:r w:rsidRPr="00D525A4">
        <w:tab/>
        <w:t>For the purposes of paragraph 51C(4)(a) of the Act, if the AUSTRAC CEO reasonably believes that there is an error in, or an omission from, an entry in the Reporting Entities Roll, the AUSTRAC CEO may correct the error or omission.</w:t>
      </w:r>
    </w:p>
    <w:p w14:paraId="56381102" w14:textId="66013331" w:rsidR="00643B4C" w:rsidRPr="00D525A4" w:rsidRDefault="00EC097E" w:rsidP="00643B4C">
      <w:pPr>
        <w:pStyle w:val="ActHead5"/>
      </w:pPr>
      <w:bookmarkStart w:id="24" w:name="_Toc198224915"/>
      <w:r w:rsidRPr="00D525A4">
        <w:rPr>
          <w:rStyle w:val="CharSectno"/>
        </w:rPr>
        <w:t>2</w:t>
      </w:r>
      <w:r w:rsidR="00D525A4">
        <w:rPr>
          <w:rStyle w:val="CharSectno"/>
        </w:rPr>
        <w:noBreakHyphen/>
      </w:r>
      <w:r w:rsidRPr="00D525A4">
        <w:rPr>
          <w:rStyle w:val="CharSectno"/>
        </w:rPr>
        <w:t>6</w:t>
      </w:r>
      <w:r w:rsidR="00643B4C" w:rsidRPr="00D525A4">
        <w:t xml:space="preserve">  Removal of name and enrolment details on AUSTRAC CEO’s own initiative</w:t>
      </w:r>
      <w:bookmarkEnd w:id="24"/>
    </w:p>
    <w:p w14:paraId="3FF16B3E" w14:textId="77777777" w:rsidR="00643B4C" w:rsidRPr="00D525A4" w:rsidRDefault="00643B4C" w:rsidP="00643B4C">
      <w:pPr>
        <w:pStyle w:val="subsection"/>
      </w:pPr>
      <w:r w:rsidRPr="00D525A4">
        <w:tab/>
      </w:r>
      <w:r w:rsidRPr="00D525A4">
        <w:tab/>
        <w:t>For the purposes of paragraph 51C(4)(b) of the Act, the AUSTRAC CEO may remove a person’s name and enrolment details from the Reporting Entities Roll on the AUSTRAC CEO’s own initiative if the AUSTRAC CEO reasonably believes that the person has ceased to provide designated services.</w:t>
      </w:r>
    </w:p>
    <w:p w14:paraId="2BAC0A7B" w14:textId="259B721C" w:rsidR="00643B4C" w:rsidRPr="00D525A4" w:rsidRDefault="00EC097E" w:rsidP="00643B4C">
      <w:pPr>
        <w:pStyle w:val="ActHead5"/>
      </w:pPr>
      <w:bookmarkStart w:id="25" w:name="_Toc198224916"/>
      <w:r w:rsidRPr="00D525A4">
        <w:rPr>
          <w:rStyle w:val="CharSectno"/>
        </w:rPr>
        <w:t>2</w:t>
      </w:r>
      <w:r w:rsidR="00D525A4">
        <w:rPr>
          <w:rStyle w:val="CharSectno"/>
        </w:rPr>
        <w:noBreakHyphen/>
      </w:r>
      <w:r w:rsidRPr="00D525A4">
        <w:rPr>
          <w:rStyle w:val="CharSectno"/>
        </w:rPr>
        <w:t>7</w:t>
      </w:r>
      <w:r w:rsidR="00643B4C" w:rsidRPr="00D525A4">
        <w:t xml:space="preserve">  Request to remove entry from Reporting Entities Roll—required information</w:t>
      </w:r>
      <w:bookmarkEnd w:id="25"/>
    </w:p>
    <w:p w14:paraId="021AEC2D" w14:textId="230243BD" w:rsidR="00643B4C" w:rsidRPr="00D525A4" w:rsidRDefault="00643B4C" w:rsidP="00643B4C">
      <w:pPr>
        <w:pStyle w:val="subsection"/>
      </w:pPr>
      <w:r w:rsidRPr="00D525A4">
        <w:tab/>
      </w:r>
      <w:r w:rsidRPr="00D525A4">
        <w:tab/>
        <w:t xml:space="preserve">For the purposes of paragraph 51G(2)(b) of the Act, a request by a person under </w:t>
      </w:r>
      <w:r w:rsidR="0010391B" w:rsidRPr="00D525A4">
        <w:t>subsection 5</w:t>
      </w:r>
      <w:r w:rsidRPr="00D525A4">
        <w:t>1G(1) of the Act to remove the person’s name and enrolment details from the Reporting Entities Roll must contain the following information:</w:t>
      </w:r>
    </w:p>
    <w:p w14:paraId="5DE32581" w14:textId="2E6D2EDB" w:rsidR="00643B4C" w:rsidRPr="00D525A4" w:rsidRDefault="00643B4C" w:rsidP="00643B4C">
      <w:pPr>
        <w:pStyle w:val="paragraph"/>
      </w:pPr>
      <w:r w:rsidRPr="00D525A4">
        <w:tab/>
        <w:t>(a)</w:t>
      </w:r>
      <w:r w:rsidRPr="00D525A4">
        <w:tab/>
        <w:t>the person’s</w:t>
      </w:r>
      <w:r w:rsidR="00C02FFC" w:rsidRPr="00D525A4">
        <w:t xml:space="preserve"> full</w:t>
      </w:r>
      <w:r w:rsidRPr="00D525A4">
        <w:t xml:space="preserve"> name;</w:t>
      </w:r>
    </w:p>
    <w:p w14:paraId="6E22B7AE" w14:textId="77777777" w:rsidR="00643B4C" w:rsidRPr="00D525A4" w:rsidRDefault="00643B4C" w:rsidP="00643B4C">
      <w:pPr>
        <w:pStyle w:val="paragraph"/>
      </w:pPr>
      <w:r w:rsidRPr="00D525A4">
        <w:tab/>
        <w:t>(b)</w:t>
      </w:r>
      <w:r w:rsidRPr="00D525A4">
        <w:tab/>
        <w:t>whether the person has ceased to provide designated services, and if so, the date on which the person ceased to provide designated services;</w:t>
      </w:r>
    </w:p>
    <w:p w14:paraId="44ED7BAE" w14:textId="77777777" w:rsidR="00643B4C" w:rsidRPr="00D525A4" w:rsidRDefault="00643B4C" w:rsidP="00643B4C">
      <w:pPr>
        <w:pStyle w:val="paragraph"/>
      </w:pPr>
      <w:r w:rsidRPr="00D525A4">
        <w:tab/>
        <w:t>(c)</w:t>
      </w:r>
      <w:r w:rsidRPr="00D525A4">
        <w:tab/>
        <w:t>whether the person intends to provide a designated service in the next financial year to begin after the request is given;</w:t>
      </w:r>
    </w:p>
    <w:p w14:paraId="65AEAA96" w14:textId="77777777" w:rsidR="00643B4C" w:rsidRPr="00D525A4" w:rsidRDefault="00643B4C" w:rsidP="00643B4C">
      <w:pPr>
        <w:pStyle w:val="paragraph"/>
      </w:pPr>
      <w:r w:rsidRPr="00D525A4">
        <w:tab/>
        <w:t>(d)</w:t>
      </w:r>
      <w:r w:rsidRPr="00D525A4">
        <w:tab/>
        <w:t>whether the person has any outstanding obligations to provide a report under any of the following provisions of the Act</w:t>
      </w:r>
      <w:r w:rsidRPr="00D525A4">
        <w:rPr>
          <w:i/>
          <w:iCs/>
        </w:rPr>
        <w:t>,</w:t>
      </w:r>
      <w:r w:rsidRPr="00D525A4">
        <w:t xml:space="preserve"> and if so, information on the outstanding obligations:</w:t>
      </w:r>
    </w:p>
    <w:p w14:paraId="78D3174D" w14:textId="7121167D" w:rsidR="00643B4C" w:rsidRPr="00D525A4" w:rsidRDefault="00643B4C" w:rsidP="00643B4C">
      <w:pPr>
        <w:pStyle w:val="paragraphsub"/>
      </w:pPr>
      <w:r w:rsidRPr="00D525A4">
        <w:tab/>
        <w:t>(i)</w:t>
      </w:r>
      <w:r w:rsidRPr="00D525A4">
        <w:tab/>
      </w:r>
      <w:r w:rsidR="005C5E95" w:rsidRPr="00D525A4">
        <w:t>section 4</w:t>
      </w:r>
      <w:r w:rsidRPr="00D525A4">
        <w:t>1 (reports of suspicious matters);</w:t>
      </w:r>
    </w:p>
    <w:p w14:paraId="5531EADE" w14:textId="547A9B3B" w:rsidR="00643B4C" w:rsidRPr="00D525A4" w:rsidRDefault="00643B4C" w:rsidP="00643B4C">
      <w:pPr>
        <w:pStyle w:val="paragraphsub"/>
      </w:pPr>
      <w:r w:rsidRPr="00D525A4">
        <w:tab/>
        <w:t>(ii)</w:t>
      </w:r>
      <w:r w:rsidRPr="00D525A4">
        <w:tab/>
      </w:r>
      <w:r w:rsidR="005C5E95" w:rsidRPr="00D525A4">
        <w:t>section 4</w:t>
      </w:r>
      <w:r w:rsidRPr="00D525A4">
        <w:t>3 (reports of threshold transactions);</w:t>
      </w:r>
    </w:p>
    <w:p w14:paraId="770C3743" w14:textId="29E85879" w:rsidR="00643B4C" w:rsidRPr="00D525A4" w:rsidRDefault="00643B4C" w:rsidP="00643B4C">
      <w:pPr>
        <w:pStyle w:val="paragraphsub"/>
      </w:pPr>
      <w:r w:rsidRPr="00D525A4">
        <w:tab/>
        <w:t>(iii)</w:t>
      </w:r>
      <w:r w:rsidRPr="00D525A4">
        <w:tab/>
      </w:r>
      <w:r w:rsidR="005C5E95" w:rsidRPr="00D525A4">
        <w:t>section 4</w:t>
      </w:r>
      <w:r w:rsidRPr="00D525A4">
        <w:t>6 (reports of international value transfer services);</w:t>
      </w:r>
    </w:p>
    <w:p w14:paraId="2AB105C5" w14:textId="23EAE3AC" w:rsidR="00643B4C" w:rsidRPr="00D525A4" w:rsidRDefault="00643B4C" w:rsidP="00643B4C">
      <w:pPr>
        <w:pStyle w:val="paragraphsub"/>
      </w:pPr>
      <w:r w:rsidRPr="00D525A4">
        <w:tab/>
        <w:t>(iv)</w:t>
      </w:r>
      <w:r w:rsidRPr="00D525A4">
        <w:tab/>
      </w:r>
      <w:r w:rsidR="005C5E95" w:rsidRPr="00D525A4">
        <w:t>section 4</w:t>
      </w:r>
      <w:r w:rsidRPr="00D525A4">
        <w:t>6A (reports of transfers of value involving unverified self</w:t>
      </w:r>
      <w:r w:rsidR="00D525A4">
        <w:noBreakHyphen/>
      </w:r>
      <w:r w:rsidRPr="00D525A4">
        <w:t>hosted virtual asset wallets);</w:t>
      </w:r>
    </w:p>
    <w:p w14:paraId="643716EE" w14:textId="0851AAA5" w:rsidR="00643B4C" w:rsidRPr="00D525A4" w:rsidRDefault="00643B4C" w:rsidP="00643B4C">
      <w:pPr>
        <w:pStyle w:val="paragraphsub"/>
      </w:pPr>
      <w:r w:rsidRPr="00D525A4">
        <w:tab/>
        <w:t>(v)</w:t>
      </w:r>
      <w:r w:rsidRPr="00D525A4">
        <w:tab/>
      </w:r>
      <w:r w:rsidR="005C5E95" w:rsidRPr="00D525A4">
        <w:t>section 4</w:t>
      </w:r>
      <w:r w:rsidRPr="00D525A4">
        <w:t>7 (AML/CTF compliance reports).</w:t>
      </w:r>
    </w:p>
    <w:p w14:paraId="3077836D" w14:textId="0FC8A955" w:rsidR="00643B4C" w:rsidRPr="00D525A4" w:rsidRDefault="0013261E" w:rsidP="00643B4C">
      <w:pPr>
        <w:pStyle w:val="ActHead3"/>
        <w:pageBreakBefore/>
      </w:pPr>
      <w:bookmarkStart w:id="26" w:name="_Toc198224917"/>
      <w:r w:rsidRPr="00D525A4">
        <w:rPr>
          <w:rStyle w:val="CharDivNo"/>
        </w:rPr>
        <w:lastRenderedPageBreak/>
        <w:t>Division 3</w:t>
      </w:r>
      <w:r w:rsidR="00643B4C" w:rsidRPr="00D525A4">
        <w:t>—</w:t>
      </w:r>
      <w:r w:rsidR="00643B4C" w:rsidRPr="00D525A4">
        <w:rPr>
          <w:rStyle w:val="CharDivText"/>
        </w:rPr>
        <w:t>Changes in enrolment details</w:t>
      </w:r>
      <w:bookmarkEnd w:id="26"/>
    </w:p>
    <w:p w14:paraId="73F9B3B4" w14:textId="61695C3D" w:rsidR="00643B4C" w:rsidRPr="00D525A4" w:rsidRDefault="00EC097E" w:rsidP="00643B4C">
      <w:pPr>
        <w:pStyle w:val="ActHead5"/>
      </w:pPr>
      <w:bookmarkStart w:id="27" w:name="_Toc198224918"/>
      <w:r w:rsidRPr="00D525A4">
        <w:rPr>
          <w:rStyle w:val="CharSectno"/>
        </w:rPr>
        <w:t>2</w:t>
      </w:r>
      <w:r w:rsidR="00D525A4">
        <w:rPr>
          <w:rStyle w:val="CharSectno"/>
        </w:rPr>
        <w:noBreakHyphen/>
      </w:r>
      <w:r w:rsidRPr="00D525A4">
        <w:rPr>
          <w:rStyle w:val="CharSectno"/>
        </w:rPr>
        <w:t>8</w:t>
      </w:r>
      <w:r w:rsidR="00643B4C" w:rsidRPr="00D525A4">
        <w:t xml:space="preserve">  Changes in enrolment details to be advised</w:t>
      </w:r>
      <w:bookmarkEnd w:id="27"/>
    </w:p>
    <w:p w14:paraId="4D6FE8B1" w14:textId="7B81D7D7" w:rsidR="00643B4C" w:rsidRPr="00D525A4" w:rsidRDefault="00643B4C" w:rsidP="00643B4C">
      <w:pPr>
        <w:pStyle w:val="subsection"/>
      </w:pPr>
      <w:r w:rsidRPr="00D525A4">
        <w:tab/>
      </w:r>
      <w:r w:rsidRPr="00D525A4">
        <w:tab/>
        <w:t xml:space="preserve">For the purposes of </w:t>
      </w:r>
      <w:r w:rsidR="0010391B" w:rsidRPr="00D525A4">
        <w:t>subsection 5</w:t>
      </w:r>
      <w:r w:rsidRPr="00D525A4">
        <w:t xml:space="preserve">1F(1) of the Act, a change in a person’s enrolment details that are information mentioned in section </w:t>
      </w:r>
      <w:r w:rsidR="00EC097E" w:rsidRPr="00D525A4">
        <w:t>2</w:t>
      </w:r>
      <w:r w:rsidR="00D525A4">
        <w:noBreakHyphen/>
      </w:r>
      <w:r w:rsidR="00EC097E" w:rsidRPr="00D525A4">
        <w:t>2</w:t>
      </w:r>
      <w:r w:rsidRPr="00D525A4">
        <w:t xml:space="preserve"> or </w:t>
      </w:r>
      <w:r w:rsidR="00EC097E" w:rsidRPr="00D525A4">
        <w:t>2</w:t>
      </w:r>
      <w:r w:rsidR="00D525A4">
        <w:noBreakHyphen/>
      </w:r>
      <w:r w:rsidR="00EC097E" w:rsidRPr="00D525A4">
        <w:t>3</w:t>
      </w:r>
      <w:r w:rsidR="00C02FFC" w:rsidRPr="00D525A4">
        <w:t xml:space="preserve"> </w:t>
      </w:r>
      <w:r w:rsidRPr="00D525A4">
        <w:t>is specified.</w:t>
      </w:r>
    </w:p>
    <w:p w14:paraId="5DBD7FB9" w14:textId="327CFD8A" w:rsidR="009D2EB0" w:rsidRPr="00D525A4" w:rsidRDefault="0010391B" w:rsidP="009D2EB0">
      <w:pPr>
        <w:pStyle w:val="ActHead2"/>
        <w:pageBreakBefore/>
      </w:pPr>
      <w:bookmarkStart w:id="28" w:name="_Toc198224919"/>
      <w:r w:rsidRPr="00D525A4">
        <w:rPr>
          <w:rStyle w:val="CharPartNo"/>
        </w:rPr>
        <w:lastRenderedPageBreak/>
        <w:t>Part 3</w:t>
      </w:r>
      <w:r w:rsidR="009D2EB0" w:rsidRPr="00D525A4">
        <w:t>—</w:t>
      </w:r>
      <w:r w:rsidR="009D2EB0" w:rsidRPr="00D525A4">
        <w:rPr>
          <w:rStyle w:val="CharPartText"/>
        </w:rPr>
        <w:t>Registration</w:t>
      </w:r>
      <w:bookmarkEnd w:id="28"/>
    </w:p>
    <w:p w14:paraId="49D9BE70" w14:textId="77777777" w:rsidR="009D2EB0" w:rsidRPr="00D525A4" w:rsidRDefault="009D2EB0" w:rsidP="009D2EB0">
      <w:pPr>
        <w:pStyle w:val="ActHead3"/>
      </w:pPr>
      <w:bookmarkStart w:id="29" w:name="_Toc198224920"/>
      <w:r w:rsidRPr="00D525A4">
        <w:rPr>
          <w:rStyle w:val="CharDivNo"/>
        </w:rPr>
        <w:t>Division 1</w:t>
      </w:r>
      <w:r w:rsidRPr="00D525A4">
        <w:t>—</w:t>
      </w:r>
      <w:r w:rsidRPr="00D525A4">
        <w:rPr>
          <w:rStyle w:val="CharDivText"/>
        </w:rPr>
        <w:t>Management of the Remittance Sector Register and the Virtual Asset Service Provider Register</w:t>
      </w:r>
      <w:bookmarkEnd w:id="29"/>
    </w:p>
    <w:p w14:paraId="416BAD8C" w14:textId="3F4243B9" w:rsidR="009D2EB0" w:rsidRPr="00D525A4" w:rsidRDefault="00EC097E" w:rsidP="009D2EB0">
      <w:pPr>
        <w:pStyle w:val="ActHead5"/>
      </w:pPr>
      <w:bookmarkStart w:id="30" w:name="_Toc198224921"/>
      <w:r w:rsidRPr="00D525A4">
        <w:rPr>
          <w:rStyle w:val="CharSectno"/>
        </w:rPr>
        <w:t>3</w:t>
      </w:r>
      <w:r w:rsidR="00D525A4">
        <w:rPr>
          <w:rStyle w:val="CharSectno"/>
        </w:rPr>
        <w:noBreakHyphen/>
      </w:r>
      <w:r w:rsidRPr="00D525A4">
        <w:rPr>
          <w:rStyle w:val="CharSectno"/>
        </w:rPr>
        <w:t>1</w:t>
      </w:r>
      <w:r w:rsidR="009D2EB0" w:rsidRPr="00D525A4">
        <w:t xml:space="preserve">  Correction of entries</w:t>
      </w:r>
      <w:bookmarkEnd w:id="30"/>
    </w:p>
    <w:p w14:paraId="5AEDAC0C" w14:textId="77777777" w:rsidR="009D2EB0" w:rsidRPr="00D525A4" w:rsidRDefault="009D2EB0" w:rsidP="009D2EB0">
      <w:pPr>
        <w:pStyle w:val="subsection"/>
      </w:pPr>
      <w:r w:rsidRPr="00D525A4">
        <w:tab/>
        <w:t>(1)</w:t>
      </w:r>
      <w:r w:rsidRPr="00D525A4">
        <w:tab/>
        <w:t>This section is made for the purposes of paragraphs 75(4)(a) and 76B(4)(b) of the Act.</w:t>
      </w:r>
    </w:p>
    <w:p w14:paraId="6AEE408B" w14:textId="77777777" w:rsidR="009D2EB0" w:rsidRPr="00D525A4" w:rsidRDefault="009D2EB0" w:rsidP="009D2EB0">
      <w:pPr>
        <w:pStyle w:val="subsection"/>
      </w:pPr>
      <w:r w:rsidRPr="00D525A4">
        <w:tab/>
        <w:t>(2)</w:t>
      </w:r>
      <w:r w:rsidRPr="00D525A4">
        <w:tab/>
        <w:t>If the AUSTRAC CEO reasonably believes that there is an error in, or omission from, an entry in the Remittance Sector Register or the Virtual Asset Service Provider Register, the AUSTRAC CEO may correct the error or omission.</w:t>
      </w:r>
    </w:p>
    <w:p w14:paraId="512EFBD2" w14:textId="77777777" w:rsidR="009D2EB0" w:rsidRPr="00D525A4" w:rsidRDefault="009D2EB0" w:rsidP="009D2EB0">
      <w:pPr>
        <w:pStyle w:val="subsection"/>
      </w:pPr>
      <w:r w:rsidRPr="00D525A4">
        <w:tab/>
        <w:t>(3)</w:t>
      </w:r>
      <w:r w:rsidRPr="00D525A4">
        <w:tab/>
        <w:t>As soon as reasonably practicable after making a correction of an entry under this section, the AUSTRAC CEO must give notice of the correction to:</w:t>
      </w:r>
    </w:p>
    <w:p w14:paraId="127F93B7" w14:textId="77777777" w:rsidR="009D2EB0" w:rsidRPr="00D525A4" w:rsidRDefault="009D2EB0" w:rsidP="009D2EB0">
      <w:pPr>
        <w:pStyle w:val="paragraph"/>
      </w:pPr>
      <w:r w:rsidRPr="00D525A4">
        <w:tab/>
        <w:t>(a)</w:t>
      </w:r>
      <w:r w:rsidRPr="00D525A4">
        <w:tab/>
        <w:t>the person whose registration the entry relates to; and</w:t>
      </w:r>
    </w:p>
    <w:p w14:paraId="43528096" w14:textId="77777777" w:rsidR="009D2EB0" w:rsidRPr="00D525A4" w:rsidRDefault="009D2EB0" w:rsidP="009D2EB0">
      <w:pPr>
        <w:pStyle w:val="paragraph"/>
      </w:pPr>
      <w:r w:rsidRPr="00D525A4">
        <w:tab/>
        <w:t>(b)</w:t>
      </w:r>
      <w:r w:rsidRPr="00D525A4">
        <w:tab/>
        <w:t>if the registration is of a person as a remittance affiliate of a registered remittance network provider—the provider.</w:t>
      </w:r>
    </w:p>
    <w:p w14:paraId="4F1BE1AB" w14:textId="472B3526" w:rsidR="009D2EB0" w:rsidRPr="00D525A4" w:rsidRDefault="00EC097E" w:rsidP="009D2EB0">
      <w:pPr>
        <w:pStyle w:val="ActHead5"/>
      </w:pPr>
      <w:bookmarkStart w:id="31" w:name="_Toc198224922"/>
      <w:r w:rsidRPr="00D525A4">
        <w:rPr>
          <w:rStyle w:val="CharSectno"/>
        </w:rPr>
        <w:t>3</w:t>
      </w:r>
      <w:r w:rsidR="00D525A4">
        <w:rPr>
          <w:rStyle w:val="CharSectno"/>
        </w:rPr>
        <w:noBreakHyphen/>
      </w:r>
      <w:r w:rsidRPr="00D525A4">
        <w:rPr>
          <w:rStyle w:val="CharSectno"/>
        </w:rPr>
        <w:t>2</w:t>
      </w:r>
      <w:r w:rsidR="009D2EB0" w:rsidRPr="00D525A4">
        <w:t xml:space="preserve">  Publication of register information</w:t>
      </w:r>
      <w:bookmarkEnd w:id="31"/>
    </w:p>
    <w:p w14:paraId="7BAD3B87" w14:textId="39D66ECB" w:rsidR="009D2EB0" w:rsidRPr="00D525A4" w:rsidRDefault="009D2EB0" w:rsidP="009D2EB0">
      <w:pPr>
        <w:pStyle w:val="subsection"/>
      </w:pPr>
      <w:r w:rsidRPr="00D525A4">
        <w:tab/>
      </w:r>
      <w:r w:rsidRPr="00D525A4">
        <w:tab/>
        <w:t xml:space="preserve">For the purposes of </w:t>
      </w:r>
      <w:r w:rsidR="0013261E" w:rsidRPr="00D525A4">
        <w:t>subsections 7</w:t>
      </w:r>
      <w:r w:rsidRPr="00D525A4">
        <w:t>5(4) and 76B(4) of the Act, the AUSTRAC CEO must publish the following on AUSTRAC’s website:</w:t>
      </w:r>
    </w:p>
    <w:p w14:paraId="3FD1A527" w14:textId="77777777" w:rsidR="009D2EB0" w:rsidRPr="00D525A4" w:rsidRDefault="009D2EB0" w:rsidP="009D2EB0">
      <w:pPr>
        <w:pStyle w:val="paragraph"/>
      </w:pPr>
      <w:r w:rsidRPr="00D525A4">
        <w:tab/>
        <w:t>(a)</w:t>
      </w:r>
      <w:r w:rsidRPr="00D525A4">
        <w:tab/>
        <w:t>the details mentioned in paragraphs 75A(1)(a), (b), (c), (d) and (f) of the Act on the Remittance Sector Register;</w:t>
      </w:r>
    </w:p>
    <w:p w14:paraId="68B98D6D" w14:textId="77777777" w:rsidR="009D2EB0" w:rsidRPr="00D525A4" w:rsidRDefault="009D2EB0" w:rsidP="009D2EB0">
      <w:pPr>
        <w:pStyle w:val="paragraph"/>
      </w:pPr>
      <w:r w:rsidRPr="00D525A4">
        <w:tab/>
        <w:t>(b)</w:t>
      </w:r>
      <w:r w:rsidRPr="00D525A4">
        <w:tab/>
        <w:t>the details mentioned in paragraphs 76C(a), (b) and (d) of the Act on the Virtual Asset Service Provider Register;</w:t>
      </w:r>
    </w:p>
    <w:p w14:paraId="31737AA5" w14:textId="05919106" w:rsidR="009D2EB0" w:rsidRPr="00D525A4" w:rsidRDefault="009D2EB0" w:rsidP="009D2EB0">
      <w:pPr>
        <w:pStyle w:val="paragraph"/>
      </w:pPr>
      <w:r w:rsidRPr="00D525A4">
        <w:tab/>
        <w:t>(c)</w:t>
      </w:r>
      <w:r w:rsidRPr="00D525A4">
        <w:tab/>
        <w:t xml:space="preserve">information mentioned in section </w:t>
      </w:r>
      <w:r w:rsidR="00EC097E" w:rsidRPr="00D525A4">
        <w:t>3</w:t>
      </w:r>
      <w:r w:rsidR="00D525A4">
        <w:noBreakHyphen/>
      </w:r>
      <w:r w:rsidR="00EC097E" w:rsidRPr="00D525A4">
        <w:t>22</w:t>
      </w:r>
      <w:r w:rsidRPr="00D525A4">
        <w:t xml:space="preserve"> of this instrument (register entry in relation to suspension of registration) on the Remittance Sector Register and the Virtual Asset Service Provider Register.</w:t>
      </w:r>
    </w:p>
    <w:p w14:paraId="25F2C03F" w14:textId="77777777" w:rsidR="009D2EB0" w:rsidRPr="00D525A4" w:rsidRDefault="009D2EB0" w:rsidP="009D2EB0">
      <w:pPr>
        <w:pStyle w:val="ActHead3"/>
      </w:pPr>
      <w:bookmarkStart w:id="32" w:name="_Toc198224923"/>
      <w:r w:rsidRPr="00D525A4">
        <w:rPr>
          <w:rStyle w:val="CharDivNo"/>
        </w:rPr>
        <w:t>Division 2</w:t>
      </w:r>
      <w:r w:rsidRPr="00D525A4">
        <w:t>—</w:t>
      </w:r>
      <w:r w:rsidRPr="00D525A4">
        <w:rPr>
          <w:rStyle w:val="CharDivText"/>
        </w:rPr>
        <w:t>Information requirements for registration applications</w:t>
      </w:r>
      <w:bookmarkEnd w:id="32"/>
    </w:p>
    <w:p w14:paraId="6CC5E70F" w14:textId="3C754D8D" w:rsidR="009D2EB0" w:rsidRPr="00D525A4" w:rsidRDefault="00EC097E" w:rsidP="009D2EB0">
      <w:pPr>
        <w:pStyle w:val="ActHead5"/>
      </w:pPr>
      <w:bookmarkStart w:id="33" w:name="_Toc198224924"/>
      <w:r w:rsidRPr="00D525A4">
        <w:rPr>
          <w:rStyle w:val="CharSectno"/>
        </w:rPr>
        <w:t>3</w:t>
      </w:r>
      <w:r w:rsidR="00D525A4">
        <w:rPr>
          <w:rStyle w:val="CharSectno"/>
        </w:rPr>
        <w:noBreakHyphen/>
      </w:r>
      <w:r w:rsidRPr="00D525A4">
        <w:rPr>
          <w:rStyle w:val="CharSectno"/>
        </w:rPr>
        <w:t>3</w:t>
      </w:r>
      <w:r w:rsidR="009D2EB0" w:rsidRPr="00D525A4">
        <w:t xml:space="preserve">  Purpose of this Division</w:t>
      </w:r>
      <w:bookmarkEnd w:id="33"/>
    </w:p>
    <w:p w14:paraId="7F3E10CC" w14:textId="77777777" w:rsidR="009D2EB0" w:rsidRPr="00D525A4" w:rsidRDefault="009D2EB0" w:rsidP="009D2EB0">
      <w:pPr>
        <w:pStyle w:val="subsection"/>
      </w:pPr>
      <w:r w:rsidRPr="00D525A4">
        <w:tab/>
      </w:r>
      <w:r w:rsidRPr="00D525A4">
        <w:tab/>
        <w:t>For the purposes of paragraphs 75B(3)(b) and 76D(2)(b) of the Act, this Division sets out the information that must be contained in the following:</w:t>
      </w:r>
    </w:p>
    <w:p w14:paraId="0B17671C" w14:textId="7426F973" w:rsidR="009D2EB0" w:rsidRPr="00D525A4" w:rsidRDefault="009D2EB0" w:rsidP="009D2EB0">
      <w:pPr>
        <w:pStyle w:val="paragraph"/>
      </w:pPr>
      <w:r w:rsidRPr="00D525A4">
        <w:tab/>
        <w:t>(a)</w:t>
      </w:r>
      <w:r w:rsidRPr="00D525A4">
        <w:tab/>
        <w:t>an application by a person under sub</w:t>
      </w:r>
      <w:r w:rsidR="0013261E" w:rsidRPr="00D525A4">
        <w:t>section 7</w:t>
      </w:r>
      <w:r w:rsidRPr="00D525A4">
        <w:t>5B(1) of the Act for registration as a remittance network provider, independent remittance dealer or a remittance affiliate of a registered remittance network provider;</w:t>
      </w:r>
    </w:p>
    <w:p w14:paraId="1BDB6089" w14:textId="32473462" w:rsidR="009D2EB0" w:rsidRPr="00D525A4" w:rsidRDefault="009D2EB0" w:rsidP="009D2EB0">
      <w:pPr>
        <w:pStyle w:val="paragraph"/>
      </w:pPr>
      <w:r w:rsidRPr="00D525A4">
        <w:tab/>
        <w:t>(b)</w:t>
      </w:r>
      <w:r w:rsidRPr="00D525A4">
        <w:tab/>
        <w:t>an application by a registered remittance network provider under sub</w:t>
      </w:r>
      <w:r w:rsidR="0013261E" w:rsidRPr="00D525A4">
        <w:t>section 7</w:t>
      </w:r>
      <w:r w:rsidRPr="00D525A4">
        <w:t>5B(2) of the Act for another person to be registered as a remittance affiliate of the registered remittance network provider;</w:t>
      </w:r>
    </w:p>
    <w:p w14:paraId="4A13268F" w14:textId="5DA728ED" w:rsidR="009D2EB0" w:rsidRPr="00D525A4" w:rsidRDefault="009D2EB0" w:rsidP="009D2EB0">
      <w:pPr>
        <w:pStyle w:val="paragraph"/>
      </w:pPr>
      <w:r w:rsidRPr="00D525A4">
        <w:tab/>
        <w:t>(c)</w:t>
      </w:r>
      <w:r w:rsidRPr="00D525A4">
        <w:tab/>
        <w:t>an application by a person under sub</w:t>
      </w:r>
      <w:r w:rsidR="0013261E" w:rsidRPr="00D525A4">
        <w:t>section 7</w:t>
      </w:r>
      <w:r w:rsidRPr="00D525A4">
        <w:t>6D(1) of the Act for registration as a virtual asset service provider.</w:t>
      </w:r>
    </w:p>
    <w:p w14:paraId="5BBB1E07" w14:textId="30B8CD24" w:rsidR="009D2EB0" w:rsidRPr="00D525A4" w:rsidRDefault="00EC097E" w:rsidP="009D2EB0">
      <w:pPr>
        <w:pStyle w:val="ActHead5"/>
      </w:pPr>
      <w:bookmarkStart w:id="34" w:name="_Toc198224925"/>
      <w:bookmarkStart w:id="35" w:name="_Hlk193457831"/>
      <w:r w:rsidRPr="00D525A4">
        <w:rPr>
          <w:rStyle w:val="CharSectno"/>
        </w:rPr>
        <w:lastRenderedPageBreak/>
        <w:t>3</w:t>
      </w:r>
      <w:r w:rsidR="00D525A4">
        <w:rPr>
          <w:rStyle w:val="CharSectno"/>
        </w:rPr>
        <w:noBreakHyphen/>
      </w:r>
      <w:r w:rsidRPr="00D525A4">
        <w:rPr>
          <w:rStyle w:val="CharSectno"/>
        </w:rPr>
        <w:t>4</w:t>
      </w:r>
      <w:r w:rsidR="009D2EB0" w:rsidRPr="00D525A4">
        <w:t xml:space="preserve">  Application—general information</w:t>
      </w:r>
      <w:bookmarkEnd w:id="34"/>
    </w:p>
    <w:p w14:paraId="347BE9D4" w14:textId="77777777" w:rsidR="009D2EB0" w:rsidRPr="00D525A4" w:rsidRDefault="009D2EB0" w:rsidP="009D2EB0">
      <w:pPr>
        <w:pStyle w:val="subsection"/>
      </w:pPr>
      <w:r w:rsidRPr="00D525A4">
        <w:tab/>
        <w:t>(1)</w:t>
      </w:r>
      <w:r w:rsidRPr="00D525A4">
        <w:tab/>
        <w:t xml:space="preserve">The application must contain the following information relating to the person (the </w:t>
      </w:r>
      <w:r w:rsidRPr="00D525A4">
        <w:rPr>
          <w:b/>
          <w:bCs/>
          <w:i/>
          <w:iCs/>
        </w:rPr>
        <w:t>candidate</w:t>
      </w:r>
      <w:r w:rsidRPr="00D525A4">
        <w:t>) proposed to be registered:</w:t>
      </w:r>
    </w:p>
    <w:p w14:paraId="10C64A74" w14:textId="77777777" w:rsidR="009D2EB0" w:rsidRPr="00D525A4" w:rsidRDefault="009D2EB0" w:rsidP="009D2EB0">
      <w:pPr>
        <w:pStyle w:val="paragraph"/>
      </w:pPr>
      <w:r w:rsidRPr="00D525A4">
        <w:tab/>
        <w:t>(a)</w:t>
      </w:r>
      <w:r w:rsidRPr="00D525A4">
        <w:tab/>
        <w:t>the candidate’s full name;</w:t>
      </w:r>
    </w:p>
    <w:p w14:paraId="2222EEDA" w14:textId="77777777" w:rsidR="009D2EB0" w:rsidRPr="00D525A4" w:rsidRDefault="009D2EB0" w:rsidP="009D2EB0">
      <w:pPr>
        <w:pStyle w:val="paragraph"/>
      </w:pPr>
      <w:r w:rsidRPr="00D525A4">
        <w:tab/>
        <w:t>(b)</w:t>
      </w:r>
      <w:r w:rsidRPr="00D525A4">
        <w:tab/>
        <w:t>any other names under which the candidate will provide its registrable services;</w:t>
      </w:r>
    </w:p>
    <w:p w14:paraId="3131E934" w14:textId="77777777" w:rsidR="009D2EB0" w:rsidRPr="00D525A4" w:rsidRDefault="009D2EB0" w:rsidP="009D2EB0">
      <w:pPr>
        <w:pStyle w:val="paragraph"/>
      </w:pPr>
      <w:r w:rsidRPr="00D525A4">
        <w:tab/>
        <w:t>(c)</w:t>
      </w:r>
      <w:r w:rsidRPr="00D525A4">
        <w:tab/>
        <w:t>the candidate’s ABN, ACN, ARBN and ARSN (as applicable);</w:t>
      </w:r>
    </w:p>
    <w:p w14:paraId="62CC38B8" w14:textId="32308A3A" w:rsidR="009D2EB0" w:rsidRPr="00D525A4" w:rsidRDefault="009D2EB0" w:rsidP="009D2EB0">
      <w:pPr>
        <w:pStyle w:val="paragraph"/>
      </w:pPr>
      <w:r w:rsidRPr="00D525A4">
        <w:tab/>
        <w:t>(d)</w:t>
      </w:r>
      <w:r w:rsidRPr="00D525A4">
        <w:tab/>
        <w:t>a unique identifier for the candidate (if any) given by an organisation accredited by the Global Legal Entity Identification Foundation;</w:t>
      </w:r>
    </w:p>
    <w:p w14:paraId="4FA8D9F6" w14:textId="77777777" w:rsidR="009D2EB0" w:rsidRPr="00D525A4" w:rsidRDefault="009D2EB0" w:rsidP="009D2EB0">
      <w:pPr>
        <w:pStyle w:val="paragraph"/>
      </w:pPr>
      <w:r w:rsidRPr="00D525A4">
        <w:tab/>
        <w:t>(e)</w:t>
      </w:r>
      <w:r w:rsidRPr="00D525A4">
        <w:tab/>
        <w:t>if the candidate is registered in, or holds a licence issued in, a foreign country to provide services that are of the same kind as registrable services (whether or not there is a connection to Australia or a resident of Australia)—details of that registration or licence;</w:t>
      </w:r>
    </w:p>
    <w:p w14:paraId="1BBE9A85" w14:textId="77777777" w:rsidR="009D2EB0" w:rsidRPr="00D525A4" w:rsidRDefault="009D2EB0" w:rsidP="009D2EB0">
      <w:pPr>
        <w:pStyle w:val="paragraph"/>
      </w:pPr>
      <w:r w:rsidRPr="00D525A4">
        <w:tab/>
        <w:t>(f)</w:t>
      </w:r>
      <w:r w:rsidRPr="00D525A4">
        <w:tab/>
        <w:t>the address of the principal place of business or operations of the candidate in Australia (if applicable);</w:t>
      </w:r>
    </w:p>
    <w:p w14:paraId="7A3AA639" w14:textId="77777777" w:rsidR="009D2EB0" w:rsidRPr="00D525A4" w:rsidRDefault="009D2EB0" w:rsidP="009D2EB0">
      <w:pPr>
        <w:pStyle w:val="paragraph"/>
      </w:pPr>
      <w:r w:rsidRPr="00D525A4">
        <w:tab/>
        <w:t>(g)</w:t>
      </w:r>
      <w:r w:rsidRPr="00D525A4">
        <w:tab/>
        <w:t>the address of the candidate’s registered office (if applicable);</w:t>
      </w:r>
    </w:p>
    <w:p w14:paraId="3707C49B" w14:textId="64A02F9E" w:rsidR="009D2EB0" w:rsidRPr="00D525A4" w:rsidRDefault="009D2EB0" w:rsidP="009D2EB0">
      <w:pPr>
        <w:pStyle w:val="paragraph"/>
      </w:pPr>
      <w:r w:rsidRPr="00D525A4">
        <w:tab/>
        <w:t>(h)</w:t>
      </w:r>
      <w:r w:rsidRPr="00D525A4">
        <w:tab/>
      </w:r>
      <w:r w:rsidR="00361504" w:rsidRPr="00D525A4">
        <w:t>the addresses of any other</w:t>
      </w:r>
      <w:r w:rsidRPr="00D525A4">
        <w:t xml:space="preserve"> places at or from which the candidate proposes to provide its registrable services;</w:t>
      </w:r>
    </w:p>
    <w:p w14:paraId="400E375D" w14:textId="77777777" w:rsidR="009D2EB0" w:rsidRPr="00D525A4" w:rsidRDefault="009D2EB0" w:rsidP="009D2EB0">
      <w:pPr>
        <w:pStyle w:val="paragraph"/>
      </w:pPr>
      <w:r w:rsidRPr="00D525A4">
        <w:tab/>
        <w:t>(i)</w:t>
      </w:r>
      <w:r w:rsidRPr="00D525A4">
        <w:tab/>
        <w:t>information about the legal form of the candidate (such as an individual or a partnership, company or trust);</w:t>
      </w:r>
    </w:p>
    <w:p w14:paraId="7C6EC871" w14:textId="77777777" w:rsidR="009D2EB0" w:rsidRPr="00D525A4" w:rsidRDefault="009D2EB0" w:rsidP="009D2EB0">
      <w:pPr>
        <w:pStyle w:val="paragraph"/>
      </w:pPr>
      <w:r w:rsidRPr="00D525A4">
        <w:tab/>
        <w:t>(j)</w:t>
      </w:r>
      <w:r w:rsidRPr="00D525A4">
        <w:tab/>
        <w:t>in relation to any beneficial owners of the candidate:</w:t>
      </w:r>
    </w:p>
    <w:p w14:paraId="7DDB5B36" w14:textId="77777777" w:rsidR="00267CAD" w:rsidRPr="00D525A4" w:rsidRDefault="009D2EB0" w:rsidP="00267CAD">
      <w:pPr>
        <w:pStyle w:val="paragraphsub"/>
      </w:pPr>
      <w:r w:rsidRPr="00D525A4">
        <w:tab/>
      </w:r>
      <w:r w:rsidR="00267CAD" w:rsidRPr="00D525A4">
        <w:t>(i)</w:t>
      </w:r>
      <w:r w:rsidR="00267CAD" w:rsidRPr="00D525A4">
        <w:tab/>
        <w:t>the individual’s full name and any former names of the individual; and</w:t>
      </w:r>
    </w:p>
    <w:p w14:paraId="6347119D" w14:textId="77777777" w:rsidR="00267CAD" w:rsidRPr="00D525A4" w:rsidRDefault="00267CAD" w:rsidP="00267CAD">
      <w:pPr>
        <w:pStyle w:val="paragraphsub"/>
      </w:pPr>
      <w:r w:rsidRPr="00D525A4">
        <w:tab/>
        <w:t>(ii)</w:t>
      </w:r>
      <w:r w:rsidRPr="00D525A4">
        <w:tab/>
        <w:t>the individual’s residential address; and</w:t>
      </w:r>
    </w:p>
    <w:p w14:paraId="387B9C90" w14:textId="77777777" w:rsidR="00267CAD" w:rsidRPr="00D525A4" w:rsidRDefault="00267CAD" w:rsidP="00267CAD">
      <w:pPr>
        <w:pStyle w:val="paragraphsub"/>
      </w:pPr>
      <w:r w:rsidRPr="00D525A4">
        <w:tab/>
        <w:t>(iii)</w:t>
      </w:r>
      <w:r w:rsidRPr="00D525A4">
        <w:tab/>
        <w:t>the individual’s date and place of birth; and</w:t>
      </w:r>
    </w:p>
    <w:p w14:paraId="74ED864D" w14:textId="03422F9F" w:rsidR="00267CAD" w:rsidRPr="00D525A4" w:rsidRDefault="00267CAD" w:rsidP="00267CAD">
      <w:pPr>
        <w:pStyle w:val="paragraphsub"/>
      </w:pPr>
      <w:r w:rsidRPr="00D525A4">
        <w:tab/>
        <w:t>(iv)</w:t>
      </w:r>
      <w:r w:rsidRPr="00D525A4">
        <w:tab/>
        <w:t>a unique identifier for the individual given by an Australian government body or the government of a foreign country;</w:t>
      </w:r>
    </w:p>
    <w:p w14:paraId="6C308708" w14:textId="66340696" w:rsidR="009D2EB0" w:rsidRPr="00D525A4" w:rsidRDefault="009D2EB0" w:rsidP="00267CAD">
      <w:pPr>
        <w:pStyle w:val="paragraph"/>
      </w:pPr>
      <w:r w:rsidRPr="00D525A4">
        <w:tab/>
        <w:t>(k)</w:t>
      </w:r>
      <w:r w:rsidRPr="00D525A4">
        <w:tab/>
        <w:t>the candidate’s telephone number;</w:t>
      </w:r>
    </w:p>
    <w:p w14:paraId="1CB92190" w14:textId="77777777" w:rsidR="009D2EB0" w:rsidRPr="00D525A4" w:rsidRDefault="009D2EB0" w:rsidP="009D2EB0">
      <w:pPr>
        <w:pStyle w:val="paragraph"/>
      </w:pPr>
      <w:r w:rsidRPr="00D525A4">
        <w:tab/>
        <w:t>(l)</w:t>
      </w:r>
      <w:r w:rsidRPr="00D525A4">
        <w:tab/>
        <w:t>the candidate’s email address;</w:t>
      </w:r>
    </w:p>
    <w:p w14:paraId="05495B45" w14:textId="77777777" w:rsidR="009D2EB0" w:rsidRPr="00D525A4" w:rsidRDefault="009D2EB0" w:rsidP="009D2EB0">
      <w:pPr>
        <w:pStyle w:val="paragraph"/>
      </w:pPr>
      <w:r w:rsidRPr="00D525A4">
        <w:tab/>
        <w:t>(m)</w:t>
      </w:r>
      <w:r w:rsidRPr="00D525A4">
        <w:tab/>
        <w:t>the domain names for any website through which the candidate will provide its registrable services;</w:t>
      </w:r>
    </w:p>
    <w:p w14:paraId="6A3F2441" w14:textId="77777777" w:rsidR="009D2EB0" w:rsidRPr="00D525A4" w:rsidRDefault="009D2EB0" w:rsidP="009D2EB0">
      <w:pPr>
        <w:pStyle w:val="paragraph"/>
      </w:pPr>
      <w:r w:rsidRPr="00D525A4">
        <w:tab/>
        <w:t>(n)</w:t>
      </w:r>
      <w:r w:rsidRPr="00D525A4">
        <w:tab/>
        <w:t>a description of the candidate’s business or principal activity;</w:t>
      </w:r>
    </w:p>
    <w:p w14:paraId="135EC8AD" w14:textId="77777777" w:rsidR="009D2EB0" w:rsidRPr="00D525A4" w:rsidRDefault="009D2EB0" w:rsidP="009D2EB0">
      <w:pPr>
        <w:pStyle w:val="paragraph"/>
      </w:pPr>
      <w:r w:rsidRPr="00D525A4">
        <w:tab/>
        <w:t>(o)</w:t>
      </w:r>
      <w:r w:rsidRPr="00D525A4">
        <w:tab/>
        <w:t>whether there are any permanent establishments of the candidate in Australia, and if so, information on those permanent establishments;</w:t>
      </w:r>
    </w:p>
    <w:p w14:paraId="36456060" w14:textId="77777777" w:rsidR="009D2EB0" w:rsidRPr="00D525A4" w:rsidRDefault="009D2EB0" w:rsidP="009D2EB0">
      <w:pPr>
        <w:pStyle w:val="paragraph"/>
      </w:pPr>
      <w:r w:rsidRPr="00D525A4">
        <w:tab/>
        <w:t>(p)</w:t>
      </w:r>
      <w:r w:rsidRPr="00D525A4">
        <w:tab/>
        <w:t>information on the expected turnover of the candidate in respect of the provision of its registrable services for the period of 12 months following registration;</w:t>
      </w:r>
    </w:p>
    <w:p w14:paraId="1E8F2050" w14:textId="77777777" w:rsidR="009D2EB0" w:rsidRPr="00D525A4" w:rsidRDefault="009D2EB0" w:rsidP="009D2EB0">
      <w:pPr>
        <w:pStyle w:val="paragraph"/>
      </w:pPr>
      <w:r w:rsidRPr="00D525A4">
        <w:tab/>
        <w:t>(q)</w:t>
      </w:r>
      <w:r w:rsidRPr="00D525A4">
        <w:tab/>
        <w:t>if the provision of the candidate’s designated services will involve dealing with customers or other persons located in foreign countries—information identifying those foreign countries.</w:t>
      </w:r>
    </w:p>
    <w:p w14:paraId="73D763F1" w14:textId="77777777" w:rsidR="009D2EB0" w:rsidRPr="00D525A4" w:rsidRDefault="009D2EB0" w:rsidP="009D2EB0">
      <w:pPr>
        <w:pStyle w:val="SubsectionHead"/>
      </w:pPr>
      <w:r w:rsidRPr="00D525A4">
        <w:t>Information relating to completion of the application and declaration</w:t>
      </w:r>
    </w:p>
    <w:p w14:paraId="29220E50" w14:textId="77777777" w:rsidR="009D2EB0" w:rsidRPr="00D525A4" w:rsidRDefault="009D2EB0" w:rsidP="009D2EB0">
      <w:pPr>
        <w:pStyle w:val="subsection"/>
      </w:pPr>
      <w:r w:rsidRPr="00D525A4">
        <w:tab/>
        <w:t>(2)</w:t>
      </w:r>
      <w:r w:rsidRPr="00D525A4">
        <w:tab/>
        <w:t>The application must contain the following information about the individual completing the application:</w:t>
      </w:r>
    </w:p>
    <w:p w14:paraId="1A8BCCFC" w14:textId="77777777" w:rsidR="009D2EB0" w:rsidRPr="00D525A4" w:rsidRDefault="009D2EB0" w:rsidP="009D2EB0">
      <w:pPr>
        <w:pStyle w:val="paragraph"/>
      </w:pPr>
      <w:r w:rsidRPr="00D525A4">
        <w:tab/>
        <w:t>(a)</w:t>
      </w:r>
      <w:r w:rsidRPr="00D525A4">
        <w:tab/>
        <w:t>the individual’s full name;</w:t>
      </w:r>
    </w:p>
    <w:p w14:paraId="0043A2B0" w14:textId="77777777" w:rsidR="009D2EB0" w:rsidRPr="00D525A4" w:rsidRDefault="009D2EB0" w:rsidP="009D2EB0">
      <w:pPr>
        <w:pStyle w:val="paragraph"/>
      </w:pPr>
      <w:r w:rsidRPr="00D525A4">
        <w:lastRenderedPageBreak/>
        <w:tab/>
        <w:t>(b)</w:t>
      </w:r>
      <w:r w:rsidRPr="00D525A4">
        <w:tab/>
        <w:t>the individual’s job title or position;</w:t>
      </w:r>
    </w:p>
    <w:p w14:paraId="3DC4E3D3" w14:textId="77777777" w:rsidR="009D2EB0" w:rsidRPr="00D525A4" w:rsidRDefault="009D2EB0" w:rsidP="009D2EB0">
      <w:pPr>
        <w:pStyle w:val="paragraph"/>
      </w:pPr>
      <w:r w:rsidRPr="00D525A4">
        <w:tab/>
      </w:r>
      <w:bookmarkStart w:id="36" w:name="_Hlk193899778"/>
      <w:r w:rsidRPr="00D525A4">
        <w:t>(c)</w:t>
      </w:r>
      <w:r w:rsidRPr="00D525A4">
        <w:tab/>
        <w:t>information on the individual’s role or relationship in relation to the candidate;</w:t>
      </w:r>
    </w:p>
    <w:bookmarkEnd w:id="36"/>
    <w:p w14:paraId="4564DDBC" w14:textId="77777777" w:rsidR="009D2EB0" w:rsidRPr="00D525A4" w:rsidRDefault="009D2EB0" w:rsidP="009D2EB0">
      <w:pPr>
        <w:pStyle w:val="paragraph"/>
      </w:pPr>
      <w:r w:rsidRPr="00D525A4">
        <w:tab/>
        <w:t>(e)</w:t>
      </w:r>
      <w:r w:rsidRPr="00D525A4">
        <w:tab/>
        <w:t>the individual’s date of birth;</w:t>
      </w:r>
    </w:p>
    <w:p w14:paraId="499B537B" w14:textId="77777777" w:rsidR="009D2EB0" w:rsidRPr="00D525A4" w:rsidRDefault="009D2EB0" w:rsidP="009D2EB0">
      <w:pPr>
        <w:pStyle w:val="paragraph"/>
      </w:pPr>
      <w:r w:rsidRPr="00D525A4">
        <w:tab/>
        <w:t>(f)</w:t>
      </w:r>
      <w:r w:rsidRPr="00D525A4">
        <w:tab/>
        <w:t>the individual’s telephone number;</w:t>
      </w:r>
    </w:p>
    <w:p w14:paraId="66DE7BE2" w14:textId="77777777" w:rsidR="009D2EB0" w:rsidRPr="00D525A4" w:rsidRDefault="009D2EB0" w:rsidP="009D2EB0">
      <w:pPr>
        <w:pStyle w:val="paragraph"/>
      </w:pPr>
      <w:r w:rsidRPr="00D525A4">
        <w:tab/>
        <w:t>(g)</w:t>
      </w:r>
      <w:r w:rsidRPr="00D525A4">
        <w:tab/>
        <w:t>the individual’s email address;</w:t>
      </w:r>
    </w:p>
    <w:p w14:paraId="00438404" w14:textId="67370F4E" w:rsidR="009D2EB0" w:rsidRPr="00D525A4" w:rsidRDefault="009D2EB0" w:rsidP="009D2EB0">
      <w:pPr>
        <w:pStyle w:val="paragraph"/>
      </w:pPr>
      <w:r w:rsidRPr="00D525A4">
        <w:tab/>
        <w:t>(h)</w:t>
      </w:r>
      <w:r w:rsidRPr="00D525A4">
        <w:tab/>
        <w:t>the individual’s postal address</w:t>
      </w:r>
      <w:r w:rsidR="00361504" w:rsidRPr="00D525A4">
        <w:t>.</w:t>
      </w:r>
    </w:p>
    <w:p w14:paraId="392C4B0C" w14:textId="77777777" w:rsidR="009D2EB0" w:rsidRPr="00D525A4" w:rsidRDefault="009D2EB0" w:rsidP="009D2EB0">
      <w:pPr>
        <w:pStyle w:val="subsection"/>
      </w:pPr>
      <w:r w:rsidRPr="00D525A4">
        <w:tab/>
        <w:t>(3)</w:t>
      </w:r>
      <w:r w:rsidRPr="00D525A4">
        <w:tab/>
        <w:t>The application must contain a declaration by the individual completing the application that the information contained in the application is true and correct.</w:t>
      </w:r>
    </w:p>
    <w:p w14:paraId="7347CAAC" w14:textId="77777777" w:rsidR="009D2EB0" w:rsidRPr="00D525A4" w:rsidRDefault="009D2EB0" w:rsidP="009D2EB0">
      <w:pPr>
        <w:pStyle w:val="SubsectionHead"/>
      </w:pPr>
      <w:r w:rsidRPr="00D525A4">
        <w:t>Information relating to the candidate—body corporate</w:t>
      </w:r>
    </w:p>
    <w:p w14:paraId="2437235E" w14:textId="77777777" w:rsidR="009D2EB0" w:rsidRPr="00D525A4" w:rsidRDefault="009D2EB0" w:rsidP="009D2EB0">
      <w:pPr>
        <w:pStyle w:val="subsection"/>
      </w:pPr>
      <w:r w:rsidRPr="00D525A4">
        <w:tab/>
        <w:t>(4)</w:t>
      </w:r>
      <w:r w:rsidRPr="00D525A4">
        <w:tab/>
        <w:t>If the candidate is a body corporate, the application must contain the following information relating to the body corporate:</w:t>
      </w:r>
    </w:p>
    <w:p w14:paraId="7254A2CA" w14:textId="77777777" w:rsidR="009D2EB0" w:rsidRPr="00D525A4" w:rsidRDefault="009D2EB0" w:rsidP="009D2EB0">
      <w:pPr>
        <w:pStyle w:val="paragraph"/>
      </w:pPr>
      <w:r w:rsidRPr="00D525A4">
        <w:tab/>
        <w:t>(a)</w:t>
      </w:r>
      <w:r w:rsidRPr="00D525A4">
        <w:tab/>
        <w:t>the full name of each director;</w:t>
      </w:r>
    </w:p>
    <w:p w14:paraId="33F610D3" w14:textId="77777777" w:rsidR="009D2EB0" w:rsidRPr="00D525A4" w:rsidRDefault="009D2EB0" w:rsidP="009D2EB0">
      <w:pPr>
        <w:pStyle w:val="paragraph"/>
      </w:pPr>
      <w:r w:rsidRPr="00D525A4">
        <w:tab/>
        <w:t>(b)</w:t>
      </w:r>
      <w:r w:rsidRPr="00D525A4">
        <w:tab/>
        <w:t>the date of birth of each director;</w:t>
      </w:r>
    </w:p>
    <w:p w14:paraId="01F048CC" w14:textId="682F200D" w:rsidR="009D2EB0" w:rsidRPr="00D525A4" w:rsidRDefault="009D2EB0" w:rsidP="009D2EB0">
      <w:pPr>
        <w:pStyle w:val="paragraph"/>
      </w:pPr>
      <w:r w:rsidRPr="00D525A4">
        <w:tab/>
        <w:t>(c)</w:t>
      </w:r>
      <w:r w:rsidRPr="00D525A4">
        <w:tab/>
      </w:r>
      <w:r w:rsidR="00B0121F" w:rsidRPr="00D525A4">
        <w:t>the</w:t>
      </w:r>
      <w:r w:rsidRPr="00D525A4">
        <w:t xml:space="preserve"> director identification number (within the meaning of the </w:t>
      </w:r>
      <w:r w:rsidRPr="00D525A4">
        <w:rPr>
          <w:i/>
          <w:iCs/>
        </w:rPr>
        <w:t>Corporations Act 2001</w:t>
      </w:r>
      <w:r w:rsidRPr="00D525A4">
        <w:t xml:space="preserve">) </w:t>
      </w:r>
      <w:r w:rsidR="00B0121F" w:rsidRPr="00D525A4">
        <w:t xml:space="preserve">(if any) </w:t>
      </w:r>
      <w:r w:rsidRPr="00D525A4">
        <w:t xml:space="preserve">of </w:t>
      </w:r>
      <w:r w:rsidR="00B0121F" w:rsidRPr="00D525A4">
        <w:t xml:space="preserve">each </w:t>
      </w:r>
      <w:r w:rsidRPr="00D525A4">
        <w:t xml:space="preserve">eligible officer (within the meaning of </w:t>
      </w:r>
      <w:r w:rsidR="00B0121F" w:rsidRPr="00D525A4">
        <w:t>that Act</w:t>
      </w:r>
      <w:r w:rsidRPr="00D525A4">
        <w:t>) of the body corporate;</w:t>
      </w:r>
    </w:p>
    <w:p w14:paraId="7A255AED" w14:textId="77777777" w:rsidR="009D2EB0" w:rsidRPr="00D525A4" w:rsidRDefault="009D2EB0" w:rsidP="009D2EB0">
      <w:pPr>
        <w:pStyle w:val="paragraph"/>
      </w:pPr>
      <w:r w:rsidRPr="00D525A4">
        <w:tab/>
        <w:t>(d)</w:t>
      </w:r>
      <w:r w:rsidRPr="00D525A4">
        <w:tab/>
        <w:t>the country in which the body corporate was incorporated and any countries in which it is registered;</w:t>
      </w:r>
    </w:p>
    <w:bookmarkEnd w:id="35"/>
    <w:p w14:paraId="061E255F" w14:textId="77777777" w:rsidR="009D2EB0" w:rsidRPr="00D525A4" w:rsidRDefault="009D2EB0" w:rsidP="009D2EB0">
      <w:pPr>
        <w:pStyle w:val="paragraph"/>
        <w:rPr>
          <w:iCs/>
        </w:rPr>
      </w:pPr>
      <w:r w:rsidRPr="00D525A4">
        <w:tab/>
        <w:t>(e)</w:t>
      </w:r>
      <w:r w:rsidRPr="00D525A4">
        <w:tab/>
        <w:t>if the body corporate was incorporated or is registered in any foreign country—the address of the principal place of business of the body corporate in</w:t>
      </w:r>
      <w:r w:rsidRPr="00D525A4">
        <w:rPr>
          <w:iCs/>
        </w:rPr>
        <w:t xml:space="preserve"> that foreign country.</w:t>
      </w:r>
    </w:p>
    <w:p w14:paraId="4D8C6DE0" w14:textId="77777777" w:rsidR="009D2EB0" w:rsidRPr="00D525A4" w:rsidRDefault="009D2EB0" w:rsidP="009D2EB0">
      <w:pPr>
        <w:pStyle w:val="SubsectionHead"/>
      </w:pPr>
      <w:r w:rsidRPr="00D525A4">
        <w:t>Information relating to the candidate—partnership</w:t>
      </w:r>
    </w:p>
    <w:p w14:paraId="1F600557" w14:textId="77777777" w:rsidR="009D2EB0" w:rsidRPr="00D525A4" w:rsidRDefault="009D2EB0" w:rsidP="009D2EB0">
      <w:pPr>
        <w:pStyle w:val="subsection"/>
      </w:pPr>
      <w:r w:rsidRPr="00D525A4">
        <w:tab/>
        <w:t>(5)</w:t>
      </w:r>
      <w:r w:rsidRPr="00D525A4">
        <w:tab/>
        <w:t>If the candidate is a partnership, the application must contain information setting out the terms of the partnership agreement (if any), and the following information relating to each partner:</w:t>
      </w:r>
    </w:p>
    <w:p w14:paraId="41B9A1B6" w14:textId="77777777" w:rsidR="009D2EB0" w:rsidRPr="00D525A4" w:rsidRDefault="009D2EB0" w:rsidP="009D2EB0">
      <w:pPr>
        <w:pStyle w:val="paragraph"/>
      </w:pPr>
      <w:r w:rsidRPr="00D525A4">
        <w:tab/>
        <w:t>(a)</w:t>
      </w:r>
      <w:r w:rsidRPr="00D525A4">
        <w:tab/>
        <w:t>for a partner that is an individual (other than a trustee):</w:t>
      </w:r>
    </w:p>
    <w:p w14:paraId="097DAB6C" w14:textId="6A348FB1" w:rsidR="009D2EB0" w:rsidRPr="00D525A4" w:rsidRDefault="009D2EB0" w:rsidP="009D2EB0">
      <w:pPr>
        <w:pStyle w:val="paragraphsub"/>
      </w:pPr>
      <w:r w:rsidRPr="00D525A4">
        <w:tab/>
        <w:t>(i)</w:t>
      </w:r>
      <w:r w:rsidRPr="00D525A4">
        <w:tab/>
        <w:t>the individual’s full name and any former names of the individual;</w:t>
      </w:r>
      <w:r w:rsidR="00CF763D" w:rsidRPr="00D525A4">
        <w:t xml:space="preserve"> and</w:t>
      </w:r>
    </w:p>
    <w:p w14:paraId="3525FBB8" w14:textId="473578AD" w:rsidR="009D2EB0" w:rsidRPr="00D525A4" w:rsidRDefault="009D2EB0" w:rsidP="009D2EB0">
      <w:pPr>
        <w:pStyle w:val="paragraphsub"/>
      </w:pPr>
      <w:r w:rsidRPr="00D525A4">
        <w:tab/>
        <w:t>(ii)</w:t>
      </w:r>
      <w:r w:rsidRPr="00D525A4">
        <w:tab/>
        <w:t>the individual’s residential address and most recent former residential address;</w:t>
      </w:r>
      <w:r w:rsidR="00CF763D" w:rsidRPr="00D525A4">
        <w:t xml:space="preserve"> and</w:t>
      </w:r>
    </w:p>
    <w:p w14:paraId="0D367F23" w14:textId="6538CC7E" w:rsidR="009D2EB0" w:rsidRPr="00D525A4" w:rsidRDefault="009D2EB0" w:rsidP="009D2EB0">
      <w:pPr>
        <w:pStyle w:val="paragraphsub"/>
      </w:pPr>
      <w:r w:rsidRPr="00D525A4">
        <w:tab/>
        <w:t>(iii)</w:t>
      </w:r>
      <w:r w:rsidRPr="00D525A4">
        <w:tab/>
        <w:t>the individual’s date and place of birth;</w:t>
      </w:r>
      <w:r w:rsidR="00CF763D" w:rsidRPr="00D525A4">
        <w:t xml:space="preserve"> and</w:t>
      </w:r>
    </w:p>
    <w:p w14:paraId="7EB82B84" w14:textId="0DBE3291" w:rsidR="009D2EB0" w:rsidRPr="00D525A4" w:rsidRDefault="009D2EB0" w:rsidP="009D2EB0">
      <w:pPr>
        <w:pStyle w:val="paragraphsub"/>
      </w:pPr>
      <w:r w:rsidRPr="00D525A4">
        <w:tab/>
        <w:t>(iv)</w:t>
      </w:r>
      <w:r w:rsidRPr="00D525A4">
        <w:tab/>
        <w:t>a unique identifier for the individual;</w:t>
      </w:r>
    </w:p>
    <w:p w14:paraId="7A6A63EE" w14:textId="4C6BB535" w:rsidR="009D2EB0" w:rsidRPr="00D525A4" w:rsidRDefault="009D2EB0" w:rsidP="009D2EB0">
      <w:pPr>
        <w:pStyle w:val="paragraph"/>
      </w:pPr>
      <w:r w:rsidRPr="00D525A4">
        <w:tab/>
        <w:t>(b)</w:t>
      </w:r>
      <w:r w:rsidRPr="00D525A4">
        <w:tab/>
        <w:t xml:space="preserve">for a partner that is a body corporate (other than a trustee)—the information mentioned in </w:t>
      </w:r>
      <w:r w:rsidR="0010391B" w:rsidRPr="00D525A4">
        <w:t>paragraphs (</w:t>
      </w:r>
      <w:r w:rsidRPr="00D525A4">
        <w:t>4)(a) to (e), in relation to the partner;</w:t>
      </w:r>
    </w:p>
    <w:p w14:paraId="547D2044" w14:textId="4777E5EA" w:rsidR="000D65C7" w:rsidRPr="00D525A4" w:rsidRDefault="000D65C7" w:rsidP="009D2EB0">
      <w:pPr>
        <w:pStyle w:val="paragraph"/>
      </w:pPr>
      <w:r w:rsidRPr="00D525A4">
        <w:tab/>
        <w:t>(c)</w:t>
      </w:r>
      <w:r w:rsidRPr="00D525A4">
        <w:tab/>
        <w:t xml:space="preserve">for a partner that is an association—the information mentioned in </w:t>
      </w:r>
      <w:r w:rsidR="009F59ED" w:rsidRPr="00D525A4">
        <w:t>subsection (</w:t>
      </w:r>
      <w:r w:rsidRPr="00D525A4">
        <w:t>7) in relation to the association;</w:t>
      </w:r>
    </w:p>
    <w:p w14:paraId="5E88A0C3" w14:textId="0946B7FB" w:rsidR="009D2EB0" w:rsidRPr="00D525A4" w:rsidRDefault="009D2EB0" w:rsidP="009D2EB0">
      <w:pPr>
        <w:pStyle w:val="paragraph"/>
      </w:pPr>
      <w:r w:rsidRPr="00D525A4">
        <w:tab/>
        <w:t>(</w:t>
      </w:r>
      <w:r w:rsidR="000D65C7" w:rsidRPr="00D525A4">
        <w:t>d</w:t>
      </w:r>
      <w:r w:rsidRPr="00D525A4">
        <w:t>)</w:t>
      </w:r>
      <w:r w:rsidRPr="00D525A4">
        <w:tab/>
        <w:t>for a partner that is a trustee of a trust:</w:t>
      </w:r>
    </w:p>
    <w:p w14:paraId="7D988B1E" w14:textId="2065DA38" w:rsidR="000D65C7" w:rsidRPr="00D525A4" w:rsidRDefault="009D2EB0" w:rsidP="000D65C7">
      <w:pPr>
        <w:pStyle w:val="paragraphsub"/>
      </w:pPr>
      <w:r w:rsidRPr="00D525A4">
        <w:tab/>
        <w:t>(i)</w:t>
      </w:r>
      <w:r w:rsidRPr="00D525A4">
        <w:tab/>
      </w:r>
      <w:r w:rsidR="000D65C7" w:rsidRPr="00D525A4">
        <w:t>the name of the trust; and</w:t>
      </w:r>
    </w:p>
    <w:p w14:paraId="18828863" w14:textId="134203AB" w:rsidR="000D65C7" w:rsidRPr="00D525A4" w:rsidRDefault="000D65C7" w:rsidP="000D65C7">
      <w:pPr>
        <w:pStyle w:val="paragraphsub"/>
      </w:pPr>
      <w:r w:rsidRPr="00D525A4">
        <w:tab/>
        <w:t>(ii)</w:t>
      </w:r>
      <w:r w:rsidRPr="00D525A4">
        <w:tab/>
        <w:t xml:space="preserve">the information mentioned in </w:t>
      </w:r>
      <w:r w:rsidR="009F59ED" w:rsidRPr="00D525A4">
        <w:t>paragraph (</w:t>
      </w:r>
      <w:r w:rsidRPr="00D525A4">
        <w:t>6)(a) to (d), in relation to the trust.</w:t>
      </w:r>
    </w:p>
    <w:p w14:paraId="1D8BD6F7" w14:textId="77777777" w:rsidR="00D920DF" w:rsidRPr="00D525A4" w:rsidRDefault="00D920DF" w:rsidP="00D920DF">
      <w:pPr>
        <w:pStyle w:val="SubsectionHead"/>
      </w:pPr>
      <w:r w:rsidRPr="00D525A4">
        <w:lastRenderedPageBreak/>
        <w:t>Information for trusts</w:t>
      </w:r>
    </w:p>
    <w:p w14:paraId="18C28A57" w14:textId="42127A92" w:rsidR="00D920DF" w:rsidRPr="00D525A4" w:rsidRDefault="00D920DF" w:rsidP="00D920DF">
      <w:pPr>
        <w:pStyle w:val="subsection"/>
      </w:pPr>
      <w:r w:rsidRPr="00D525A4">
        <w:tab/>
        <w:t>(6)</w:t>
      </w:r>
      <w:r w:rsidRPr="00D525A4">
        <w:tab/>
        <w:t>If the candidate is a trust, the application must contain the following information relating to the trust:</w:t>
      </w:r>
    </w:p>
    <w:p w14:paraId="7A41DF74" w14:textId="77777777" w:rsidR="00D920DF" w:rsidRPr="00D525A4" w:rsidRDefault="00D920DF" w:rsidP="00D920DF">
      <w:pPr>
        <w:pStyle w:val="paragraph"/>
      </w:pPr>
      <w:r w:rsidRPr="00D525A4">
        <w:tab/>
        <w:t>(a)</w:t>
      </w:r>
      <w:r w:rsidRPr="00D525A4">
        <w:tab/>
        <w:t>the kind of trust (such as discretionary trust, bare trust or unit trust);</w:t>
      </w:r>
    </w:p>
    <w:p w14:paraId="4C2659A7" w14:textId="77777777" w:rsidR="00D920DF" w:rsidRPr="00D525A4" w:rsidRDefault="00D920DF" w:rsidP="00D920DF">
      <w:pPr>
        <w:pStyle w:val="paragraph"/>
      </w:pPr>
      <w:r w:rsidRPr="00D525A4">
        <w:tab/>
        <w:t>(b)</w:t>
      </w:r>
      <w:r w:rsidRPr="00D525A4">
        <w:tab/>
        <w:t>any former names of the trust;</w:t>
      </w:r>
    </w:p>
    <w:p w14:paraId="764A46E3" w14:textId="562484C5" w:rsidR="00D920DF" w:rsidRPr="00D525A4" w:rsidRDefault="00D920DF" w:rsidP="005758F7">
      <w:pPr>
        <w:pStyle w:val="paragraph"/>
      </w:pPr>
      <w:r w:rsidRPr="00D525A4">
        <w:tab/>
        <w:t>(c)</w:t>
      </w:r>
      <w:r w:rsidRPr="00D525A4">
        <w:tab/>
        <w:t xml:space="preserve">for </w:t>
      </w:r>
      <w:r w:rsidR="000D65C7" w:rsidRPr="00D525A4">
        <w:t>any</w:t>
      </w:r>
      <w:r w:rsidRPr="00D525A4">
        <w:t xml:space="preserve"> trustee</w:t>
      </w:r>
      <w:r w:rsidR="000D65C7" w:rsidRPr="00D525A4">
        <w:t>, beneficiary,</w:t>
      </w:r>
      <w:r w:rsidR="005758F7" w:rsidRPr="00D525A4">
        <w:t xml:space="preserve"> settlor, </w:t>
      </w:r>
      <w:r w:rsidR="000D65C7" w:rsidRPr="00D525A4">
        <w:t xml:space="preserve">appointer, guardian or protector of the trust that is </w:t>
      </w:r>
      <w:r w:rsidRPr="00D525A4">
        <w:t xml:space="preserve">an individual—the information mentioned in subparagraphs (5)(a)(i) to (iv), in relation to the </w:t>
      </w:r>
      <w:r w:rsidR="000D65C7" w:rsidRPr="00D525A4">
        <w:t>person</w:t>
      </w:r>
      <w:r w:rsidRPr="00D525A4">
        <w:t>;</w:t>
      </w:r>
    </w:p>
    <w:p w14:paraId="18E4D46F" w14:textId="6F3398BC" w:rsidR="00985806" w:rsidRPr="00D525A4" w:rsidRDefault="00D920DF" w:rsidP="00B22FB8">
      <w:pPr>
        <w:pStyle w:val="paragraph"/>
      </w:pPr>
      <w:r w:rsidRPr="00D525A4">
        <w:tab/>
        <w:t>(d)</w:t>
      </w:r>
      <w:r w:rsidRPr="00D525A4">
        <w:tab/>
        <w:t xml:space="preserve">for </w:t>
      </w:r>
      <w:r w:rsidR="000D65C7" w:rsidRPr="00D525A4">
        <w:t xml:space="preserve">any such person that </w:t>
      </w:r>
      <w:r w:rsidRPr="00D525A4">
        <w:t xml:space="preserve">is a body corporate—the information mentioned in paragraphs (4)(a) to (e), in relation to the </w:t>
      </w:r>
      <w:r w:rsidR="000D65C7" w:rsidRPr="00D525A4">
        <w:t>person.</w:t>
      </w:r>
    </w:p>
    <w:p w14:paraId="656780BA" w14:textId="1A28AB28" w:rsidR="00D920DF" w:rsidRPr="00D525A4" w:rsidRDefault="00D920DF" w:rsidP="00D920DF">
      <w:pPr>
        <w:pStyle w:val="SubsectionHead"/>
      </w:pPr>
      <w:r w:rsidRPr="00D525A4">
        <w:t>Information for associations or co</w:t>
      </w:r>
      <w:r w:rsidR="00D525A4">
        <w:noBreakHyphen/>
      </w:r>
      <w:r w:rsidRPr="00D525A4">
        <w:t>operatives</w:t>
      </w:r>
    </w:p>
    <w:p w14:paraId="4EC245EC" w14:textId="77F949F7" w:rsidR="00D920DF" w:rsidRPr="00D525A4" w:rsidRDefault="00D920DF" w:rsidP="00D920DF">
      <w:pPr>
        <w:pStyle w:val="subsection"/>
      </w:pPr>
      <w:r w:rsidRPr="00D525A4">
        <w:tab/>
        <w:t>(7)</w:t>
      </w:r>
      <w:r w:rsidRPr="00D525A4">
        <w:tab/>
        <w:t xml:space="preserve">If the </w:t>
      </w:r>
      <w:r w:rsidR="00E9217B" w:rsidRPr="00D525A4">
        <w:t xml:space="preserve">candidate </w:t>
      </w:r>
      <w:r w:rsidRPr="00D525A4">
        <w:t>is an incorporated association, an unincorporated association or a co</w:t>
      </w:r>
      <w:r w:rsidR="00D525A4">
        <w:noBreakHyphen/>
      </w:r>
      <w:r w:rsidRPr="00D525A4">
        <w:t>operative, the application must contain the information mentioned in subparagraphs (5)(a)(i) to (iv) in relation to the individual, or each member of a group of individuals, with primary responsibility for the governance and executive decisions of the association or co</w:t>
      </w:r>
      <w:r w:rsidR="00D525A4">
        <w:noBreakHyphen/>
      </w:r>
      <w:r w:rsidRPr="00D525A4">
        <w:t>operative.</w:t>
      </w:r>
    </w:p>
    <w:p w14:paraId="65F42BE1" w14:textId="4B77F3E8" w:rsidR="009D2EB0" w:rsidRPr="00D525A4" w:rsidRDefault="00EC097E" w:rsidP="009D2EB0">
      <w:pPr>
        <w:pStyle w:val="ActHead5"/>
      </w:pPr>
      <w:bookmarkStart w:id="37" w:name="_Toc198224926"/>
      <w:r w:rsidRPr="00D525A4">
        <w:rPr>
          <w:rStyle w:val="CharSectno"/>
        </w:rPr>
        <w:t>3</w:t>
      </w:r>
      <w:r w:rsidR="00D525A4">
        <w:rPr>
          <w:rStyle w:val="CharSectno"/>
        </w:rPr>
        <w:noBreakHyphen/>
      </w:r>
      <w:r w:rsidRPr="00D525A4">
        <w:rPr>
          <w:rStyle w:val="CharSectno"/>
        </w:rPr>
        <w:t>5</w:t>
      </w:r>
      <w:r w:rsidR="009D2EB0" w:rsidRPr="00D525A4">
        <w:t xml:space="preserve">  Information relating to ML/TF risks</w:t>
      </w:r>
      <w:bookmarkEnd w:id="37"/>
    </w:p>
    <w:p w14:paraId="634432F9" w14:textId="77777777" w:rsidR="009D2EB0" w:rsidRPr="00D525A4" w:rsidRDefault="009D2EB0" w:rsidP="009D2EB0">
      <w:pPr>
        <w:pStyle w:val="subsection"/>
      </w:pPr>
      <w:r w:rsidRPr="00D525A4">
        <w:tab/>
      </w:r>
      <w:r w:rsidRPr="00D525A4">
        <w:tab/>
        <w:t>The application must contain the following information:</w:t>
      </w:r>
    </w:p>
    <w:p w14:paraId="4A646B4C" w14:textId="23786191" w:rsidR="009D2EB0" w:rsidRPr="00D525A4" w:rsidRDefault="009D2EB0" w:rsidP="009D2EB0">
      <w:pPr>
        <w:pStyle w:val="paragraph"/>
      </w:pPr>
      <w:r w:rsidRPr="00D525A4">
        <w:tab/>
        <w:t>(a)</w:t>
      </w:r>
      <w:r w:rsidRPr="00D525A4">
        <w:tab/>
        <w:t xml:space="preserve">information identifying the </w:t>
      </w:r>
      <w:r w:rsidR="00267CAD" w:rsidRPr="00D525A4">
        <w:t xml:space="preserve">key </w:t>
      </w:r>
      <w:r w:rsidRPr="00D525A4">
        <w:t xml:space="preserve">risks of money laundering, financing of terrorism and proliferation financing that the candidate has assessed it may reasonably face in providing </w:t>
      </w:r>
      <w:r w:rsidR="00361504" w:rsidRPr="00D525A4">
        <w:t xml:space="preserve">its </w:t>
      </w:r>
      <w:r w:rsidRPr="00D525A4">
        <w:t>registrable services;</w:t>
      </w:r>
    </w:p>
    <w:p w14:paraId="6FFBD4FA" w14:textId="77777777" w:rsidR="009D2EB0" w:rsidRPr="00D525A4" w:rsidRDefault="009D2EB0" w:rsidP="009D2EB0">
      <w:pPr>
        <w:pStyle w:val="paragraph"/>
      </w:pPr>
      <w:r w:rsidRPr="00D525A4">
        <w:tab/>
        <w:t>(b)</w:t>
      </w:r>
      <w:r w:rsidRPr="00D525A4">
        <w:tab/>
        <w:t>information on the risks of money laundering, financing of terrorism and proliferation financing associated with the following:</w:t>
      </w:r>
    </w:p>
    <w:p w14:paraId="2B266F56" w14:textId="77777777" w:rsidR="009D2EB0" w:rsidRPr="00D525A4" w:rsidRDefault="009D2EB0" w:rsidP="009D2EB0">
      <w:pPr>
        <w:pStyle w:val="paragraphsub"/>
      </w:pPr>
      <w:r w:rsidRPr="00D525A4">
        <w:tab/>
        <w:t>(i)</w:t>
      </w:r>
      <w:r w:rsidRPr="00D525A4">
        <w:tab/>
        <w:t>the kinds of customers to whom the candidate will provide its registrable services;</w:t>
      </w:r>
    </w:p>
    <w:p w14:paraId="7C89FB19" w14:textId="2EB708CE" w:rsidR="009D2EB0" w:rsidRPr="00D525A4" w:rsidRDefault="009D2EB0" w:rsidP="009D2EB0">
      <w:pPr>
        <w:pStyle w:val="paragraphsub"/>
      </w:pPr>
      <w:r w:rsidRPr="00D525A4">
        <w:tab/>
        <w:t>(ii)</w:t>
      </w:r>
      <w:r w:rsidRPr="00D525A4">
        <w:tab/>
      </w:r>
      <w:r w:rsidR="00D17D50" w:rsidRPr="00D525A4">
        <w:t xml:space="preserve">any foreign </w:t>
      </w:r>
      <w:r w:rsidRPr="00D525A4">
        <w:t>countries in which the candidate will operate in providing its registrable services;</w:t>
      </w:r>
    </w:p>
    <w:p w14:paraId="57C1DD20" w14:textId="77777777" w:rsidR="009D2EB0" w:rsidRPr="00D525A4" w:rsidRDefault="009D2EB0" w:rsidP="009D2EB0">
      <w:pPr>
        <w:pStyle w:val="paragraphsub"/>
      </w:pPr>
      <w:r w:rsidRPr="00D525A4">
        <w:tab/>
        <w:t>(iii)</w:t>
      </w:r>
      <w:r w:rsidRPr="00D525A4">
        <w:tab/>
        <w:t>the products and services the candidate will provide in relation to its registrable services;</w:t>
      </w:r>
    </w:p>
    <w:p w14:paraId="434CFAFA" w14:textId="77777777" w:rsidR="009D2EB0" w:rsidRPr="00D525A4" w:rsidRDefault="009D2EB0" w:rsidP="009D2EB0">
      <w:pPr>
        <w:pStyle w:val="paragraphsub"/>
      </w:pPr>
      <w:r w:rsidRPr="00D525A4">
        <w:tab/>
        <w:t>(iv)</w:t>
      </w:r>
      <w:r w:rsidRPr="00D525A4">
        <w:tab/>
        <w:t>the delivery channels by which the candidate’s registrable services will be provided;</w:t>
      </w:r>
    </w:p>
    <w:p w14:paraId="7B45274D" w14:textId="77777777" w:rsidR="009D2EB0" w:rsidRPr="00D525A4" w:rsidRDefault="009D2EB0" w:rsidP="009D2EB0">
      <w:pPr>
        <w:pStyle w:val="paragraphsub"/>
      </w:pPr>
      <w:r w:rsidRPr="00D525A4">
        <w:tab/>
        <w:t>(v)</w:t>
      </w:r>
      <w:r w:rsidRPr="00D525A4">
        <w:tab/>
        <w:t>the kinds of transactions the candidate will undertake in providing its registrable services;</w:t>
      </w:r>
    </w:p>
    <w:p w14:paraId="2701B70D" w14:textId="0C11D0AB" w:rsidR="009D2EB0" w:rsidRPr="00D525A4" w:rsidRDefault="009D2EB0" w:rsidP="009D2EB0">
      <w:pPr>
        <w:pStyle w:val="paragraph"/>
      </w:pPr>
      <w:r w:rsidRPr="00D525A4">
        <w:tab/>
        <w:t>(c)</w:t>
      </w:r>
      <w:r w:rsidRPr="00D525A4">
        <w:tab/>
        <w:t xml:space="preserve">information on the candidate’s process for reviewing and updating its ML/TF risk assessment (see </w:t>
      </w:r>
      <w:r w:rsidR="0010391B" w:rsidRPr="00D525A4">
        <w:t>section 2</w:t>
      </w:r>
      <w:r w:rsidRPr="00D525A4">
        <w:t>6D of the Act).</w:t>
      </w:r>
    </w:p>
    <w:p w14:paraId="07D82DCA" w14:textId="4713E2CC" w:rsidR="009D2EB0" w:rsidRPr="00D525A4" w:rsidRDefault="00EC097E" w:rsidP="009D2EB0">
      <w:pPr>
        <w:pStyle w:val="ActHead5"/>
      </w:pPr>
      <w:bookmarkStart w:id="38" w:name="_Toc198224927"/>
      <w:r w:rsidRPr="00D525A4">
        <w:rPr>
          <w:rStyle w:val="CharSectno"/>
        </w:rPr>
        <w:t>3</w:t>
      </w:r>
      <w:r w:rsidR="00D525A4">
        <w:rPr>
          <w:rStyle w:val="CharSectno"/>
        </w:rPr>
        <w:noBreakHyphen/>
      </w:r>
      <w:r w:rsidRPr="00D525A4">
        <w:rPr>
          <w:rStyle w:val="CharSectno"/>
        </w:rPr>
        <w:t>6</w:t>
      </w:r>
      <w:r w:rsidR="009D2EB0" w:rsidRPr="00D525A4">
        <w:t xml:space="preserve">  Information relating to AML/CTF policies</w:t>
      </w:r>
      <w:bookmarkEnd w:id="38"/>
    </w:p>
    <w:p w14:paraId="0B615D7A" w14:textId="77777777" w:rsidR="009D2EB0" w:rsidRPr="00D525A4" w:rsidRDefault="009D2EB0" w:rsidP="009D2EB0">
      <w:pPr>
        <w:pStyle w:val="subsection"/>
      </w:pPr>
      <w:r w:rsidRPr="00D525A4">
        <w:tab/>
        <w:t>(1)</w:t>
      </w:r>
      <w:r w:rsidRPr="00D525A4">
        <w:tab/>
        <w:t>The application must contain information setting out the AML/CTF policies that the candidate has in relation to the following matters:</w:t>
      </w:r>
    </w:p>
    <w:p w14:paraId="314BC28D" w14:textId="77777777" w:rsidR="009D2EB0" w:rsidRPr="00D525A4" w:rsidRDefault="009D2EB0" w:rsidP="009D2EB0">
      <w:pPr>
        <w:pStyle w:val="paragraph"/>
      </w:pPr>
      <w:r w:rsidRPr="00D525A4">
        <w:tab/>
        <w:t>(a)</w:t>
      </w:r>
      <w:r w:rsidRPr="00D525A4">
        <w:tab/>
        <w:t>appropriately managing and mitigating the risks of money laundering, financing of terrorism and proliferation financing that the reporting entity may reasonably face in providing its registrable services;</w:t>
      </w:r>
    </w:p>
    <w:p w14:paraId="42735BA9" w14:textId="77777777" w:rsidR="009D2EB0" w:rsidRPr="00D525A4" w:rsidRDefault="009D2EB0" w:rsidP="009D2EB0">
      <w:pPr>
        <w:pStyle w:val="paragraph"/>
      </w:pPr>
      <w:r w:rsidRPr="00D525A4">
        <w:lastRenderedPageBreak/>
        <w:tab/>
        <w:t>(b)</w:t>
      </w:r>
      <w:r w:rsidRPr="00D525A4">
        <w:tab/>
        <w:t>ensuring the candidate complies with the obligations imposed by the Act, the regulations and the AML/CTF Rules on the candidate;</w:t>
      </w:r>
    </w:p>
    <w:p w14:paraId="5E904453" w14:textId="77777777" w:rsidR="009D2EB0" w:rsidRPr="00D525A4" w:rsidRDefault="009D2EB0" w:rsidP="009D2EB0">
      <w:pPr>
        <w:pStyle w:val="paragraph"/>
      </w:pPr>
      <w:r w:rsidRPr="00D525A4">
        <w:tab/>
        <w:t>(c)</w:t>
      </w:r>
      <w:r w:rsidRPr="00D525A4">
        <w:tab/>
        <w:t>undertaking due diligence in relation to persons who are, or will be, employed or otherwise engaged by the reporting entity and who perform, or will perform, functions relevant to the candidate’s obligations under the Act;</w:t>
      </w:r>
    </w:p>
    <w:p w14:paraId="5F9A0D80" w14:textId="77777777" w:rsidR="009D2EB0" w:rsidRPr="00D525A4" w:rsidRDefault="009D2EB0" w:rsidP="009D2EB0">
      <w:pPr>
        <w:pStyle w:val="paragraph"/>
      </w:pPr>
      <w:r w:rsidRPr="00D525A4">
        <w:tab/>
        <w:t>(d)</w:t>
      </w:r>
      <w:r w:rsidRPr="00D525A4">
        <w:tab/>
        <w:t>providing training to persons who are employed or otherwise engaged by the candidate and who perform, or will perform, functions relevant to the candidate’s obligations under the Act in relation to:</w:t>
      </w:r>
    </w:p>
    <w:p w14:paraId="3404D02D" w14:textId="77777777" w:rsidR="009D2EB0" w:rsidRPr="00D525A4" w:rsidRDefault="009D2EB0" w:rsidP="009D2EB0">
      <w:pPr>
        <w:pStyle w:val="paragraphsub"/>
      </w:pPr>
      <w:r w:rsidRPr="00D525A4">
        <w:tab/>
        <w:t>(i)</w:t>
      </w:r>
      <w:r w:rsidRPr="00D525A4">
        <w:tab/>
        <w:t>the risk of money laundering, financing of terrorism and proliferation financing that the candidate may reasonably face in providing its designated services; and</w:t>
      </w:r>
    </w:p>
    <w:p w14:paraId="37B31EAC" w14:textId="77777777" w:rsidR="009D2EB0" w:rsidRPr="00D525A4" w:rsidRDefault="009D2EB0" w:rsidP="009D2EB0">
      <w:pPr>
        <w:pStyle w:val="paragraphsub"/>
      </w:pPr>
      <w:r w:rsidRPr="00D525A4">
        <w:tab/>
        <w:t>(ii)</w:t>
      </w:r>
      <w:r w:rsidRPr="00D525A4">
        <w:tab/>
        <w:t>the obligations imposed by the Act, the regulations and the AML/CTF Rules on the candidate;</w:t>
      </w:r>
    </w:p>
    <w:p w14:paraId="6DAC7B88" w14:textId="77777777" w:rsidR="009D2EB0" w:rsidRPr="00D525A4" w:rsidRDefault="009D2EB0" w:rsidP="009D2EB0">
      <w:pPr>
        <w:pStyle w:val="paragraph"/>
      </w:pPr>
      <w:r w:rsidRPr="00D525A4">
        <w:tab/>
        <w:t>(e)</w:t>
      </w:r>
      <w:r w:rsidRPr="00D525A4">
        <w:tab/>
        <w:t>reviewing and updating the AML/CTF policies; and</w:t>
      </w:r>
    </w:p>
    <w:p w14:paraId="0D0C0273" w14:textId="6AD4EF1A" w:rsidR="009D2EB0" w:rsidRPr="00D525A4" w:rsidRDefault="009D2EB0" w:rsidP="009D2EB0">
      <w:pPr>
        <w:pStyle w:val="paragraph"/>
      </w:pPr>
      <w:r w:rsidRPr="00D525A4">
        <w:tab/>
        <w:t>(f)</w:t>
      </w:r>
      <w:r w:rsidRPr="00D525A4">
        <w:tab/>
        <w:t xml:space="preserve">carrying out customer due diligence in accordance with </w:t>
      </w:r>
      <w:r w:rsidR="0010391B" w:rsidRPr="00D525A4">
        <w:t>Part 2</w:t>
      </w:r>
      <w:r w:rsidRPr="00D525A4">
        <w:t xml:space="preserve"> of the Act, including:</w:t>
      </w:r>
    </w:p>
    <w:p w14:paraId="20C6BAF0" w14:textId="77777777" w:rsidR="009D2EB0" w:rsidRPr="00D525A4" w:rsidRDefault="009D2EB0" w:rsidP="009D2EB0">
      <w:pPr>
        <w:pStyle w:val="paragraphsub"/>
      </w:pPr>
      <w:r w:rsidRPr="00D525A4">
        <w:tab/>
        <w:t>(i)</w:t>
      </w:r>
      <w:r w:rsidRPr="00D525A4">
        <w:tab/>
        <w:t>complying with obligations under that Part in relation to politically exposed persons; and</w:t>
      </w:r>
    </w:p>
    <w:p w14:paraId="02FE55C5" w14:textId="77777777" w:rsidR="009D2EB0" w:rsidRPr="00D525A4" w:rsidRDefault="009D2EB0" w:rsidP="009D2EB0">
      <w:pPr>
        <w:pStyle w:val="paragraphsub"/>
      </w:pPr>
      <w:r w:rsidRPr="00D525A4">
        <w:tab/>
        <w:t>(ii)</w:t>
      </w:r>
      <w:r w:rsidRPr="00D525A4">
        <w:tab/>
        <w:t>any use of distributed ledger technology for the purposes of carrying out that due diligence.</w:t>
      </w:r>
    </w:p>
    <w:p w14:paraId="722D0C1A" w14:textId="5E505623" w:rsidR="009D2EB0" w:rsidRPr="00D525A4" w:rsidRDefault="009D2EB0" w:rsidP="009D2EB0">
      <w:pPr>
        <w:pStyle w:val="subsection"/>
      </w:pPr>
      <w:r w:rsidRPr="00D525A4">
        <w:tab/>
        <w:t>(2)</w:t>
      </w:r>
      <w:r w:rsidRPr="00D525A4">
        <w:tab/>
        <w:t xml:space="preserve">The application must include the full name and business address of any training provider used to deliver training mentioned in </w:t>
      </w:r>
      <w:r w:rsidR="009F59ED" w:rsidRPr="00D525A4">
        <w:t>paragraph (</w:t>
      </w:r>
      <w:r w:rsidRPr="00D525A4">
        <w:t>1)(d) within the period of 12 months before the application is made.</w:t>
      </w:r>
    </w:p>
    <w:p w14:paraId="453641BA" w14:textId="609FAB42" w:rsidR="009D2EB0" w:rsidRPr="00D525A4" w:rsidRDefault="00EC097E" w:rsidP="009D2EB0">
      <w:pPr>
        <w:pStyle w:val="ActHead5"/>
      </w:pPr>
      <w:bookmarkStart w:id="39" w:name="_Toc198224928"/>
      <w:r w:rsidRPr="00D525A4">
        <w:rPr>
          <w:rStyle w:val="CharSectno"/>
        </w:rPr>
        <w:t>3</w:t>
      </w:r>
      <w:r w:rsidR="00D525A4">
        <w:rPr>
          <w:rStyle w:val="CharSectno"/>
        </w:rPr>
        <w:noBreakHyphen/>
      </w:r>
      <w:r w:rsidRPr="00D525A4">
        <w:rPr>
          <w:rStyle w:val="CharSectno"/>
        </w:rPr>
        <w:t>7</w:t>
      </w:r>
      <w:r w:rsidR="009D2EB0" w:rsidRPr="00D525A4">
        <w:t xml:space="preserve">  Information</w:t>
      </w:r>
      <w:r w:rsidR="006B3711" w:rsidRPr="00D525A4">
        <w:t xml:space="preserve"> relating to</w:t>
      </w:r>
      <w:r w:rsidR="009D2EB0" w:rsidRPr="00D525A4">
        <w:t xml:space="preserve"> accounts with financial institutions</w:t>
      </w:r>
      <w:bookmarkEnd w:id="39"/>
    </w:p>
    <w:p w14:paraId="4D8445ED" w14:textId="77777777" w:rsidR="009D2EB0" w:rsidRPr="00D525A4" w:rsidRDefault="009D2EB0" w:rsidP="009D2EB0">
      <w:pPr>
        <w:pStyle w:val="subsection"/>
      </w:pPr>
      <w:r w:rsidRPr="00D525A4">
        <w:tab/>
      </w:r>
      <w:r w:rsidRPr="00D525A4">
        <w:tab/>
        <w:t>The application must contain the following information in relation to each account with a financial institution that the candidate will use in providing its registrable services:</w:t>
      </w:r>
    </w:p>
    <w:p w14:paraId="667B6844" w14:textId="77777777" w:rsidR="009D2EB0" w:rsidRPr="00D525A4" w:rsidRDefault="009D2EB0" w:rsidP="009D2EB0">
      <w:pPr>
        <w:pStyle w:val="paragraph"/>
      </w:pPr>
      <w:r w:rsidRPr="00D525A4">
        <w:tab/>
        <w:t>(a)</w:t>
      </w:r>
      <w:r w:rsidRPr="00D525A4">
        <w:tab/>
        <w:t>the full name and date of birth of each individual who is holder or other signatory to the account;</w:t>
      </w:r>
    </w:p>
    <w:p w14:paraId="275BEA5F" w14:textId="77777777" w:rsidR="009D2EB0" w:rsidRPr="00D525A4" w:rsidRDefault="009D2EB0" w:rsidP="009D2EB0">
      <w:pPr>
        <w:pStyle w:val="paragraph"/>
      </w:pPr>
      <w:r w:rsidRPr="00D525A4">
        <w:tab/>
        <w:t>(b)</w:t>
      </w:r>
      <w:r w:rsidRPr="00D525A4">
        <w:tab/>
        <w:t>the country within which the account is held;</w:t>
      </w:r>
    </w:p>
    <w:p w14:paraId="0C3B070C" w14:textId="77777777" w:rsidR="009D2EB0" w:rsidRPr="00D525A4" w:rsidRDefault="009D2EB0" w:rsidP="009D2EB0">
      <w:pPr>
        <w:pStyle w:val="paragraph"/>
      </w:pPr>
      <w:r w:rsidRPr="00D525A4">
        <w:tab/>
        <w:t>(c)</w:t>
      </w:r>
      <w:r w:rsidRPr="00D525A4">
        <w:tab/>
        <w:t>information on the foreign currencies that can be held in the account.</w:t>
      </w:r>
    </w:p>
    <w:p w14:paraId="4F8A043E" w14:textId="61919792" w:rsidR="009D2EB0" w:rsidRPr="00D525A4" w:rsidRDefault="00EC097E" w:rsidP="009D2EB0">
      <w:pPr>
        <w:pStyle w:val="ActHead5"/>
      </w:pPr>
      <w:bookmarkStart w:id="40" w:name="_Toc198224929"/>
      <w:r w:rsidRPr="00D525A4">
        <w:rPr>
          <w:rStyle w:val="CharSectno"/>
        </w:rPr>
        <w:t>3</w:t>
      </w:r>
      <w:r w:rsidR="00D525A4">
        <w:rPr>
          <w:rStyle w:val="CharSectno"/>
        </w:rPr>
        <w:noBreakHyphen/>
      </w:r>
      <w:r w:rsidRPr="00D525A4">
        <w:rPr>
          <w:rStyle w:val="CharSectno"/>
        </w:rPr>
        <w:t>8</w:t>
      </w:r>
      <w:r w:rsidR="009D2EB0" w:rsidRPr="00D525A4">
        <w:t xml:space="preserve">  Information </w:t>
      </w:r>
      <w:r w:rsidR="006B3711" w:rsidRPr="00D525A4">
        <w:t>relating to</w:t>
      </w:r>
      <w:r w:rsidR="009D2EB0" w:rsidRPr="00D525A4">
        <w:t xml:space="preserve"> other persons assisting</w:t>
      </w:r>
      <w:bookmarkEnd w:id="40"/>
    </w:p>
    <w:p w14:paraId="7CD190CB" w14:textId="77777777" w:rsidR="009D2EB0" w:rsidRPr="00D525A4" w:rsidRDefault="009D2EB0" w:rsidP="009D2EB0">
      <w:pPr>
        <w:pStyle w:val="subsection"/>
      </w:pPr>
      <w:r w:rsidRPr="00D525A4">
        <w:tab/>
      </w:r>
      <w:r w:rsidRPr="00D525A4">
        <w:tab/>
        <w:t>The application must contain the following information:</w:t>
      </w:r>
    </w:p>
    <w:p w14:paraId="0EACA686" w14:textId="77777777" w:rsidR="009D2EB0" w:rsidRPr="00D525A4" w:rsidRDefault="009D2EB0" w:rsidP="009D2EB0">
      <w:pPr>
        <w:pStyle w:val="paragraph"/>
      </w:pPr>
      <w:r w:rsidRPr="00D525A4">
        <w:tab/>
        <w:t>(a)</w:t>
      </w:r>
      <w:r w:rsidRPr="00D525A4">
        <w:tab/>
        <w:t>whether the candidate has entered or will enter into an agreement or arrangement for another person to perform, or assist with the performance of, functions relevant to the candidate’s obligations under the Act, and if so, information on those functions;</w:t>
      </w:r>
    </w:p>
    <w:p w14:paraId="107D1004" w14:textId="77777777" w:rsidR="009D2EB0" w:rsidRPr="00D525A4" w:rsidRDefault="009D2EB0" w:rsidP="009D2EB0">
      <w:pPr>
        <w:pStyle w:val="paragraph"/>
      </w:pPr>
      <w:r w:rsidRPr="00D525A4">
        <w:tab/>
        <w:t>(b)</w:t>
      </w:r>
      <w:r w:rsidRPr="00D525A4">
        <w:tab/>
        <w:t>whether any of those functions would be performed or assisted with by that person in any foreign countries, and if so, which foreign countries;</w:t>
      </w:r>
    </w:p>
    <w:p w14:paraId="28DC18CF" w14:textId="77777777" w:rsidR="009D2EB0" w:rsidRPr="00D525A4" w:rsidRDefault="009D2EB0" w:rsidP="009D2EB0">
      <w:pPr>
        <w:pStyle w:val="paragraph"/>
      </w:pPr>
      <w:r w:rsidRPr="00D525A4">
        <w:tab/>
        <w:t>(c)</w:t>
      </w:r>
      <w:r w:rsidRPr="00D525A4">
        <w:tab/>
        <w:t>information on what quality controls the candidate will use regarding the other person’s performance of, or assistance with, those functions.</w:t>
      </w:r>
    </w:p>
    <w:p w14:paraId="1EB08F40" w14:textId="3E0C549E" w:rsidR="009D2EB0" w:rsidRPr="00D525A4" w:rsidRDefault="00EC097E" w:rsidP="009D2EB0">
      <w:pPr>
        <w:pStyle w:val="ActHead5"/>
      </w:pPr>
      <w:bookmarkStart w:id="41" w:name="_Toc198224930"/>
      <w:r w:rsidRPr="00D525A4">
        <w:rPr>
          <w:rStyle w:val="CharSectno"/>
        </w:rPr>
        <w:lastRenderedPageBreak/>
        <w:t>3</w:t>
      </w:r>
      <w:r w:rsidR="00D525A4">
        <w:rPr>
          <w:rStyle w:val="CharSectno"/>
        </w:rPr>
        <w:noBreakHyphen/>
      </w:r>
      <w:r w:rsidRPr="00D525A4">
        <w:rPr>
          <w:rStyle w:val="CharSectno"/>
        </w:rPr>
        <w:t>9</w:t>
      </w:r>
      <w:r w:rsidR="009D2EB0" w:rsidRPr="00D525A4">
        <w:t xml:space="preserve">  Information </w:t>
      </w:r>
      <w:r w:rsidR="006B3711" w:rsidRPr="00D525A4">
        <w:t>relating to</w:t>
      </w:r>
      <w:r w:rsidR="009D2EB0" w:rsidRPr="00D525A4">
        <w:t xml:space="preserve"> key personnel and past unlawful activity etc.</w:t>
      </w:r>
      <w:bookmarkEnd w:id="41"/>
    </w:p>
    <w:p w14:paraId="767439C0" w14:textId="77777777" w:rsidR="009D2EB0" w:rsidRPr="00D525A4" w:rsidRDefault="009D2EB0" w:rsidP="009D2EB0">
      <w:pPr>
        <w:pStyle w:val="subsection"/>
      </w:pPr>
      <w:r w:rsidRPr="00D525A4">
        <w:tab/>
        <w:t>(1)</w:t>
      </w:r>
      <w:r w:rsidRPr="00D525A4">
        <w:tab/>
        <w:t>The application must contain the following information regarding each of the candidate’s key personnel:</w:t>
      </w:r>
    </w:p>
    <w:p w14:paraId="63D88118" w14:textId="77777777" w:rsidR="009D2EB0" w:rsidRPr="00D525A4" w:rsidRDefault="009D2EB0" w:rsidP="009D2EB0">
      <w:pPr>
        <w:pStyle w:val="paragraph"/>
      </w:pPr>
      <w:r w:rsidRPr="00D525A4">
        <w:tab/>
        <w:t>(a)</w:t>
      </w:r>
      <w:r w:rsidRPr="00D525A4">
        <w:tab/>
        <w:t>the individual’s full name;</w:t>
      </w:r>
    </w:p>
    <w:p w14:paraId="03DD69C9" w14:textId="77777777" w:rsidR="009D2EB0" w:rsidRPr="00D525A4" w:rsidRDefault="009D2EB0" w:rsidP="009D2EB0">
      <w:pPr>
        <w:pStyle w:val="paragraph"/>
      </w:pPr>
      <w:r w:rsidRPr="00D525A4">
        <w:tab/>
        <w:t>(b)</w:t>
      </w:r>
      <w:r w:rsidRPr="00D525A4">
        <w:tab/>
        <w:t>the individual’s date of birth;</w:t>
      </w:r>
    </w:p>
    <w:p w14:paraId="6030055B" w14:textId="77777777" w:rsidR="009D2EB0" w:rsidRPr="00D525A4" w:rsidRDefault="009D2EB0" w:rsidP="009D2EB0">
      <w:pPr>
        <w:pStyle w:val="paragraph"/>
      </w:pPr>
      <w:r w:rsidRPr="00D525A4">
        <w:tab/>
        <w:t>(c)</w:t>
      </w:r>
      <w:r w:rsidRPr="00D525A4">
        <w:tab/>
        <w:t>the individual’s job title or position;</w:t>
      </w:r>
    </w:p>
    <w:p w14:paraId="2D4A5CE2" w14:textId="77777777" w:rsidR="009D2EB0" w:rsidRPr="00D525A4" w:rsidRDefault="009D2EB0" w:rsidP="009D2EB0">
      <w:pPr>
        <w:pStyle w:val="paragraph"/>
      </w:pPr>
      <w:r w:rsidRPr="00D525A4">
        <w:tab/>
        <w:t>(d)</w:t>
      </w:r>
      <w:r w:rsidRPr="00D525A4">
        <w:tab/>
        <w:t>the individual’s telephone number;</w:t>
      </w:r>
    </w:p>
    <w:p w14:paraId="18DA285D" w14:textId="77777777" w:rsidR="009D2EB0" w:rsidRPr="00D525A4" w:rsidRDefault="009D2EB0" w:rsidP="009D2EB0">
      <w:pPr>
        <w:pStyle w:val="paragraph"/>
      </w:pPr>
      <w:r w:rsidRPr="00D525A4">
        <w:tab/>
        <w:t>(e)</w:t>
      </w:r>
      <w:r w:rsidRPr="00D525A4">
        <w:tab/>
        <w:t>the individual’s email address;</w:t>
      </w:r>
    </w:p>
    <w:p w14:paraId="044B3E99" w14:textId="77777777" w:rsidR="009D2EB0" w:rsidRPr="00D525A4" w:rsidRDefault="009D2EB0" w:rsidP="009D2EB0">
      <w:pPr>
        <w:pStyle w:val="paragraph"/>
      </w:pPr>
      <w:r w:rsidRPr="00D525A4">
        <w:tab/>
        <w:t>(f)</w:t>
      </w:r>
      <w:r w:rsidRPr="00D525A4">
        <w:tab/>
        <w:t>the individual’s residential address.</w:t>
      </w:r>
    </w:p>
    <w:p w14:paraId="55AD19A5" w14:textId="77777777" w:rsidR="009D2EB0" w:rsidRPr="00D525A4" w:rsidRDefault="009D2EB0" w:rsidP="009D2EB0">
      <w:pPr>
        <w:pStyle w:val="subsection"/>
      </w:pPr>
      <w:r w:rsidRPr="00D525A4">
        <w:tab/>
        <w:t>(2)</w:t>
      </w:r>
      <w:r w:rsidRPr="00D525A4">
        <w:tab/>
        <w:t>The application must contain the following information:</w:t>
      </w:r>
    </w:p>
    <w:p w14:paraId="6CBDB345" w14:textId="77777777" w:rsidR="009D2EB0" w:rsidRPr="00D525A4" w:rsidRDefault="009D2EB0" w:rsidP="009D2EB0">
      <w:pPr>
        <w:pStyle w:val="paragraph"/>
      </w:pPr>
      <w:r w:rsidRPr="00D525A4">
        <w:tab/>
        <w:t>(a)</w:t>
      </w:r>
      <w:r w:rsidRPr="00D525A4">
        <w:tab/>
        <w:t>whether the candidate or any of its key personnel has been charged or convicted of an offence against the Act, or of an offence against a law of the Commonwealth, a State or Territory or a foreign country of any of the following kinds:</w:t>
      </w:r>
    </w:p>
    <w:p w14:paraId="44934039" w14:textId="77777777" w:rsidR="009D2EB0" w:rsidRPr="00D525A4" w:rsidRDefault="009D2EB0" w:rsidP="009D2EB0">
      <w:pPr>
        <w:pStyle w:val="paragraphsub"/>
      </w:pPr>
      <w:r w:rsidRPr="00D525A4">
        <w:tab/>
        <w:t>(i)</w:t>
      </w:r>
      <w:r w:rsidRPr="00D525A4">
        <w:tab/>
        <w:t>money laundering;</w:t>
      </w:r>
    </w:p>
    <w:p w14:paraId="6013A2BF" w14:textId="77777777" w:rsidR="009D2EB0" w:rsidRPr="00D525A4" w:rsidRDefault="009D2EB0" w:rsidP="009D2EB0">
      <w:pPr>
        <w:pStyle w:val="paragraphsub"/>
      </w:pPr>
      <w:r w:rsidRPr="00D525A4">
        <w:tab/>
        <w:t>(ii)</w:t>
      </w:r>
      <w:r w:rsidRPr="00D525A4">
        <w:tab/>
        <w:t>financing of terrorism;</w:t>
      </w:r>
    </w:p>
    <w:p w14:paraId="6C5763A2" w14:textId="77777777" w:rsidR="009D2EB0" w:rsidRPr="00D525A4" w:rsidRDefault="009D2EB0" w:rsidP="009D2EB0">
      <w:pPr>
        <w:pStyle w:val="paragraphsub"/>
      </w:pPr>
      <w:r w:rsidRPr="00D525A4">
        <w:tab/>
        <w:t>(iii)</w:t>
      </w:r>
      <w:r w:rsidRPr="00D525A4">
        <w:tab/>
        <w:t>proliferation financing;</w:t>
      </w:r>
    </w:p>
    <w:p w14:paraId="6F962D6B" w14:textId="77777777" w:rsidR="009D2EB0" w:rsidRPr="00D525A4" w:rsidRDefault="009D2EB0" w:rsidP="009D2EB0">
      <w:pPr>
        <w:pStyle w:val="paragraphsub"/>
      </w:pPr>
      <w:r w:rsidRPr="00D525A4">
        <w:tab/>
        <w:t>(iv)</w:t>
      </w:r>
      <w:r w:rsidRPr="00D525A4">
        <w:tab/>
        <w:t>fraud (including scams);</w:t>
      </w:r>
    </w:p>
    <w:p w14:paraId="6F594D8A" w14:textId="77777777" w:rsidR="009D2EB0" w:rsidRPr="00D525A4" w:rsidRDefault="009D2EB0" w:rsidP="009D2EB0">
      <w:pPr>
        <w:pStyle w:val="paragraphsub"/>
      </w:pPr>
      <w:r w:rsidRPr="00D525A4">
        <w:tab/>
        <w:t>(v)</w:t>
      </w:r>
      <w:r w:rsidRPr="00D525A4">
        <w:tab/>
        <w:t>a serious offence of any other kind;</w:t>
      </w:r>
    </w:p>
    <w:p w14:paraId="5000A815" w14:textId="77777777" w:rsidR="009D2EB0" w:rsidRPr="00D525A4" w:rsidRDefault="009D2EB0" w:rsidP="009D2EB0">
      <w:pPr>
        <w:pStyle w:val="paragraph"/>
      </w:pPr>
      <w:r w:rsidRPr="00D525A4">
        <w:rPr>
          <w:i/>
          <w:iCs/>
        </w:rPr>
        <w:tab/>
      </w:r>
      <w:r w:rsidRPr="00D525A4">
        <w:t>(b)</w:t>
      </w:r>
      <w:r w:rsidRPr="00D525A4">
        <w:tab/>
        <w:t>whether the person or any of its key personnel has been found by the Federal Court to have contravened the Act;</w:t>
      </w:r>
    </w:p>
    <w:p w14:paraId="443D1EB2" w14:textId="77777777" w:rsidR="009D2EB0" w:rsidRPr="00D525A4" w:rsidRDefault="009D2EB0" w:rsidP="009D2EB0">
      <w:pPr>
        <w:pStyle w:val="paragraph"/>
      </w:pPr>
      <w:r w:rsidRPr="00D525A4">
        <w:tab/>
        <w:t>(c)</w:t>
      </w:r>
      <w:r w:rsidRPr="00D525A4">
        <w:tab/>
        <w:t>whether the candidate or any of its key personnel has been the subject of civil or criminal proceedings, or any enforcement action that:</w:t>
      </w:r>
    </w:p>
    <w:p w14:paraId="77CF702C" w14:textId="77777777" w:rsidR="009D2EB0" w:rsidRPr="00D525A4" w:rsidRDefault="009D2EB0" w:rsidP="009D2EB0">
      <w:pPr>
        <w:pStyle w:val="paragraphsub"/>
      </w:pPr>
      <w:r w:rsidRPr="00D525A4">
        <w:tab/>
        <w:t>(i)</w:t>
      </w:r>
      <w:r w:rsidRPr="00D525A4">
        <w:tab/>
        <w:t>related to the management of an entity or commercial or professional activity; and</w:t>
      </w:r>
    </w:p>
    <w:p w14:paraId="6C0F3C32" w14:textId="77777777" w:rsidR="009D2EB0" w:rsidRPr="00D525A4" w:rsidRDefault="009D2EB0" w:rsidP="009D2EB0">
      <w:pPr>
        <w:pStyle w:val="paragraphsub"/>
      </w:pPr>
      <w:r w:rsidRPr="00D525A4">
        <w:tab/>
        <w:t>(ii)</w:t>
      </w:r>
      <w:r w:rsidRPr="00D525A4">
        <w:tab/>
        <w:t>was resolved adversely to the candidate or key personnel, including by the candidate or key personnel consenting to an order or direction, or giving an undertaking, not to engage in unlawful or improper conduct;</w:t>
      </w:r>
    </w:p>
    <w:p w14:paraId="1F853FE1" w14:textId="64CA811E" w:rsidR="009D2EB0" w:rsidRPr="00D525A4" w:rsidRDefault="009D2EB0" w:rsidP="009D2EB0">
      <w:pPr>
        <w:pStyle w:val="paragraph"/>
      </w:pPr>
      <w:r w:rsidRPr="00D525A4">
        <w:tab/>
        <w:t>(d)</w:t>
      </w:r>
      <w:r w:rsidRPr="00D525A4">
        <w:tab/>
        <w:t xml:space="preserve">what steps the candidate has taken to establish the matters mentioned in </w:t>
      </w:r>
      <w:r w:rsidR="0010391B" w:rsidRPr="00D525A4">
        <w:t>paragraphs (</w:t>
      </w:r>
      <w:r w:rsidRPr="00D525A4">
        <w:t>a) to (c) in relation to its key personnel;</w:t>
      </w:r>
    </w:p>
    <w:p w14:paraId="55F05C00" w14:textId="6968C6CF" w:rsidR="009D2EB0" w:rsidRPr="00D525A4" w:rsidRDefault="009D2EB0" w:rsidP="009D2EB0">
      <w:pPr>
        <w:pStyle w:val="paragraph"/>
      </w:pPr>
      <w:r w:rsidRPr="00D525A4">
        <w:tab/>
        <w:t>(e)</w:t>
      </w:r>
      <w:r w:rsidRPr="00D525A4">
        <w:tab/>
        <w:t xml:space="preserve">if any of the circumstances mentioned in </w:t>
      </w:r>
      <w:r w:rsidR="0010391B" w:rsidRPr="00D525A4">
        <w:t>paragraphs (</w:t>
      </w:r>
      <w:r w:rsidRPr="00D525A4">
        <w:t>a) to (c) exist—details of each of the circumstances;</w:t>
      </w:r>
    </w:p>
    <w:p w14:paraId="01064DDC" w14:textId="5DA15B01" w:rsidR="009D2EB0" w:rsidRPr="00D525A4" w:rsidRDefault="009D2EB0" w:rsidP="009D2EB0">
      <w:pPr>
        <w:pStyle w:val="paragraph"/>
      </w:pPr>
      <w:r w:rsidRPr="00D525A4">
        <w:tab/>
        <w:t>(f)</w:t>
      </w:r>
      <w:r w:rsidRPr="00D525A4">
        <w:tab/>
        <w:t xml:space="preserve">whether any of the candidate’s key personnel has ever applied, or has been a beneficial owner of a person (other than an individual) that has applied for registration under </w:t>
      </w:r>
      <w:r w:rsidR="0013261E" w:rsidRPr="00D525A4">
        <w:t>Part 6</w:t>
      </w:r>
      <w:r w:rsidRPr="00D525A4">
        <w:t xml:space="preserve"> or 6A of the Act (which deal with the Remittance Sector Register and the Virtual Asset Service Provider Register), and if so, information on that registration;</w:t>
      </w:r>
    </w:p>
    <w:p w14:paraId="69E5ACF0" w14:textId="77777777" w:rsidR="009D2EB0" w:rsidRPr="00D525A4" w:rsidRDefault="009D2EB0" w:rsidP="009D2EB0">
      <w:pPr>
        <w:pStyle w:val="paragraph"/>
      </w:pPr>
      <w:r w:rsidRPr="00D525A4">
        <w:tab/>
        <w:t>(g)</w:t>
      </w:r>
      <w:r w:rsidRPr="00D525A4">
        <w:tab/>
        <w:t>whether any of the candidate’s key personnel is, has applied to be, or is intending to apply for registration, licensing or approval (however described) in any country to conduct regulated activity in the financial sector, and if so, details of the country and the kind of regulated activity the key personnel is involved in;</w:t>
      </w:r>
    </w:p>
    <w:p w14:paraId="2B285FFC" w14:textId="77777777" w:rsidR="009D2EB0" w:rsidRPr="00D525A4" w:rsidRDefault="009D2EB0" w:rsidP="009D2EB0">
      <w:pPr>
        <w:pStyle w:val="paragraph"/>
      </w:pPr>
      <w:r w:rsidRPr="00D525A4">
        <w:tab/>
        <w:t>(h)</w:t>
      </w:r>
      <w:r w:rsidRPr="00D525A4">
        <w:tab/>
        <w:t xml:space="preserve">details of any training the candidate’s key personnel have received within the period of 12 months before the application is made in relation to </w:t>
      </w:r>
      <w:r w:rsidRPr="00D525A4">
        <w:lastRenderedPageBreak/>
        <w:t>providing registrable services, including the full name and business address of any training provider used to deliver the training.</w:t>
      </w:r>
    </w:p>
    <w:p w14:paraId="46F721F6" w14:textId="4D2B5ED0" w:rsidR="009D2EB0" w:rsidRPr="00D525A4" w:rsidRDefault="00EC097E" w:rsidP="009D2EB0">
      <w:pPr>
        <w:pStyle w:val="ActHead5"/>
      </w:pPr>
      <w:bookmarkStart w:id="42" w:name="_Toc198224931"/>
      <w:r w:rsidRPr="00D525A4">
        <w:rPr>
          <w:rStyle w:val="CharSectno"/>
        </w:rPr>
        <w:t>3</w:t>
      </w:r>
      <w:r w:rsidR="00D525A4">
        <w:rPr>
          <w:rStyle w:val="CharSectno"/>
        </w:rPr>
        <w:noBreakHyphen/>
      </w:r>
      <w:r w:rsidRPr="00D525A4">
        <w:rPr>
          <w:rStyle w:val="CharSectno"/>
        </w:rPr>
        <w:t>10</w:t>
      </w:r>
      <w:r w:rsidR="009D2EB0" w:rsidRPr="00D525A4">
        <w:t xml:space="preserve">  Additional requirements for application by remittance network provider for registration of an affiliate</w:t>
      </w:r>
      <w:bookmarkEnd w:id="42"/>
    </w:p>
    <w:p w14:paraId="11DEA4ED" w14:textId="77777777" w:rsidR="009D2EB0" w:rsidRPr="00D525A4" w:rsidRDefault="009D2EB0" w:rsidP="009D2EB0">
      <w:pPr>
        <w:pStyle w:val="subsection"/>
      </w:pPr>
      <w:r w:rsidRPr="00D525A4">
        <w:tab/>
      </w:r>
      <w:r w:rsidRPr="00D525A4">
        <w:tab/>
        <w:t>If the application is by a registered remittance network provider for the candidate to be registered as a remittance affiliate of the registered remittance network provider, the application must contain the following information:</w:t>
      </w:r>
    </w:p>
    <w:p w14:paraId="2569C14F" w14:textId="77777777" w:rsidR="009D2EB0" w:rsidRPr="00D525A4" w:rsidRDefault="009D2EB0" w:rsidP="009D2EB0">
      <w:pPr>
        <w:pStyle w:val="paragraph"/>
      </w:pPr>
      <w:r w:rsidRPr="00D525A4">
        <w:tab/>
        <w:t>(a)</w:t>
      </w:r>
      <w:r w:rsidRPr="00D525A4">
        <w:tab/>
        <w:t>whether the provider has assessed the suitability of the candidate to be a remittance affiliate of the provider, taking into account the related risks of money laundering, financing of terrorism and proliferation financing that the provider may reasonably face;</w:t>
      </w:r>
    </w:p>
    <w:p w14:paraId="6529C9CA" w14:textId="77777777" w:rsidR="009D2EB0" w:rsidRPr="00D525A4" w:rsidRDefault="009D2EB0" w:rsidP="009D2EB0">
      <w:pPr>
        <w:pStyle w:val="paragraph"/>
      </w:pPr>
      <w:r w:rsidRPr="00D525A4">
        <w:tab/>
        <w:t>(b)</w:t>
      </w:r>
      <w:r w:rsidRPr="00D525A4">
        <w:tab/>
        <w:t>if such an assessment has been made—whether the candidate was found to be suitable;</w:t>
      </w:r>
    </w:p>
    <w:p w14:paraId="0F2F3F46" w14:textId="77777777" w:rsidR="009D2EB0" w:rsidRPr="00D525A4" w:rsidRDefault="009D2EB0" w:rsidP="009D2EB0">
      <w:pPr>
        <w:pStyle w:val="paragraph"/>
      </w:pPr>
      <w:r w:rsidRPr="00D525A4">
        <w:tab/>
        <w:t>(c)</w:t>
      </w:r>
      <w:r w:rsidRPr="00D525A4">
        <w:tab/>
        <w:t>whether the candidate has consented to the making of the application and if so, information on when the consent was given.</w:t>
      </w:r>
    </w:p>
    <w:p w14:paraId="229B21B2" w14:textId="013869E4" w:rsidR="009D2EB0" w:rsidRPr="00D525A4" w:rsidRDefault="00EC097E" w:rsidP="009D2EB0">
      <w:pPr>
        <w:pStyle w:val="ActHead5"/>
      </w:pPr>
      <w:bookmarkStart w:id="43" w:name="_Toc198224932"/>
      <w:r w:rsidRPr="00D525A4">
        <w:rPr>
          <w:rStyle w:val="CharSectno"/>
        </w:rPr>
        <w:t>3</w:t>
      </w:r>
      <w:r w:rsidR="00D525A4">
        <w:rPr>
          <w:rStyle w:val="CharSectno"/>
        </w:rPr>
        <w:noBreakHyphen/>
      </w:r>
      <w:r w:rsidRPr="00D525A4">
        <w:rPr>
          <w:rStyle w:val="CharSectno"/>
        </w:rPr>
        <w:t>11</w:t>
      </w:r>
      <w:r w:rsidR="009D2EB0" w:rsidRPr="00D525A4">
        <w:t xml:space="preserve">  Additional requirements for application by independent remittance dealer for registration as a remittance affiliate</w:t>
      </w:r>
      <w:bookmarkEnd w:id="43"/>
    </w:p>
    <w:p w14:paraId="34686528" w14:textId="77777777" w:rsidR="009D2EB0" w:rsidRPr="00D525A4" w:rsidRDefault="009D2EB0" w:rsidP="009D2EB0">
      <w:pPr>
        <w:pStyle w:val="subsection"/>
      </w:pPr>
      <w:r w:rsidRPr="00D525A4">
        <w:tab/>
      </w:r>
      <w:r w:rsidRPr="00D525A4">
        <w:tab/>
        <w:t>If the application is under paragraph 75A(1)(c) of the Act, for registration as a remittance affiliate of a registered remittance network provider, the application must contain information on whether the registered remittance network provider has consented to the making of the application and if so, when the consent was given.</w:t>
      </w:r>
    </w:p>
    <w:p w14:paraId="23FD91EA" w14:textId="037CD0F8" w:rsidR="009D2EB0" w:rsidRPr="00D525A4" w:rsidRDefault="00EC097E" w:rsidP="009D2EB0">
      <w:pPr>
        <w:pStyle w:val="ActHead5"/>
      </w:pPr>
      <w:bookmarkStart w:id="44" w:name="_Toc198224933"/>
      <w:r w:rsidRPr="00D525A4">
        <w:rPr>
          <w:rStyle w:val="CharSectno"/>
        </w:rPr>
        <w:t>3</w:t>
      </w:r>
      <w:r w:rsidR="00D525A4">
        <w:rPr>
          <w:rStyle w:val="CharSectno"/>
        </w:rPr>
        <w:noBreakHyphen/>
      </w:r>
      <w:r w:rsidRPr="00D525A4">
        <w:rPr>
          <w:rStyle w:val="CharSectno"/>
        </w:rPr>
        <w:t>12</w:t>
      </w:r>
      <w:r w:rsidR="009D2EB0" w:rsidRPr="00D525A4">
        <w:t xml:space="preserve">  Additional requirements for application for registration as a</w:t>
      </w:r>
      <w:r w:rsidR="007D5E83" w:rsidRPr="00D525A4">
        <w:t>n</w:t>
      </w:r>
      <w:r w:rsidR="009D2EB0" w:rsidRPr="00D525A4">
        <w:t xml:space="preserve"> independent remittance dealer or a remittance affiliate of network provider</w:t>
      </w:r>
      <w:bookmarkEnd w:id="44"/>
    </w:p>
    <w:p w14:paraId="51D38471" w14:textId="77777777" w:rsidR="009D2EB0" w:rsidRPr="00D525A4" w:rsidRDefault="009D2EB0" w:rsidP="009D2EB0">
      <w:pPr>
        <w:pStyle w:val="subsection"/>
      </w:pPr>
      <w:r w:rsidRPr="00D525A4">
        <w:tab/>
      </w:r>
      <w:r w:rsidRPr="00D525A4">
        <w:tab/>
        <w:t>If the application is for the candidate to be registered as an independent remittance dealer, or as a remittance affiliate of a registered remittance network provider, the application must contain the following information:</w:t>
      </w:r>
    </w:p>
    <w:p w14:paraId="3A8CB300" w14:textId="77777777" w:rsidR="009D2EB0" w:rsidRPr="00D525A4" w:rsidRDefault="009D2EB0" w:rsidP="009D2EB0">
      <w:pPr>
        <w:pStyle w:val="paragraph"/>
      </w:pPr>
      <w:r w:rsidRPr="00D525A4">
        <w:tab/>
        <w:t>(a)</w:t>
      </w:r>
      <w:r w:rsidRPr="00D525A4">
        <w:tab/>
        <w:t>information on whether offsetting arrangements or third party remittance arrangements will be involved in the provision of the candidate’s registrable services;</w:t>
      </w:r>
    </w:p>
    <w:p w14:paraId="3B969653" w14:textId="77777777" w:rsidR="009D2EB0" w:rsidRPr="00D525A4" w:rsidRDefault="009D2EB0" w:rsidP="009D2EB0">
      <w:pPr>
        <w:pStyle w:val="paragraph"/>
      </w:pPr>
      <w:r w:rsidRPr="00D525A4">
        <w:tab/>
        <w:t>(b)</w:t>
      </w:r>
      <w:r w:rsidRPr="00D525A4">
        <w:tab/>
        <w:t>details of the delivery channels by which the candidate’s registrable services will be provided;</w:t>
      </w:r>
    </w:p>
    <w:p w14:paraId="1B11B14A" w14:textId="77777777" w:rsidR="009D2EB0" w:rsidRPr="00D525A4" w:rsidRDefault="009D2EB0" w:rsidP="009D2EB0">
      <w:pPr>
        <w:pStyle w:val="paragraph"/>
      </w:pPr>
      <w:r w:rsidRPr="00D525A4">
        <w:tab/>
        <w:t>(c)</w:t>
      </w:r>
      <w:r w:rsidRPr="00D525A4">
        <w:tab/>
        <w:t>information on the ways the candidate’s customers will, for transfers of value to which its registrable services relate, be able to make value available for transfer or receive value transferred;</w:t>
      </w:r>
    </w:p>
    <w:p w14:paraId="5E9BC46E" w14:textId="40CDDDF2" w:rsidR="009D2EB0" w:rsidRPr="00D525A4" w:rsidRDefault="009D2EB0" w:rsidP="009D2EB0">
      <w:pPr>
        <w:pStyle w:val="paragraph"/>
      </w:pPr>
      <w:r w:rsidRPr="00D525A4">
        <w:tab/>
        <w:t>(d)</w:t>
      </w:r>
      <w:r w:rsidRPr="00D525A4">
        <w:tab/>
        <w:t xml:space="preserve">information on the expected average number of </w:t>
      </w:r>
      <w:r w:rsidR="00F420FA" w:rsidRPr="00D525A4">
        <w:t>designated</w:t>
      </w:r>
      <w:r w:rsidRPr="00D525A4">
        <w:t xml:space="preserve"> services covered by each of </w:t>
      </w:r>
      <w:r w:rsidR="0010391B" w:rsidRPr="00D525A4">
        <w:t>items 2</w:t>
      </w:r>
      <w:r w:rsidRPr="00D525A4">
        <w:t xml:space="preserve">9 and 30 of table 1 in </w:t>
      </w:r>
      <w:r w:rsidR="0010391B" w:rsidRPr="00D525A4">
        <w:t>section 6</w:t>
      </w:r>
      <w:r w:rsidRPr="00D525A4">
        <w:t xml:space="preserve"> of the Act</w:t>
      </w:r>
      <w:r w:rsidR="006E603F" w:rsidRPr="00D525A4">
        <w:t xml:space="preserve"> that are registrable services </w:t>
      </w:r>
      <w:r w:rsidRPr="00D525A4">
        <w:t>the candidate would provide each month over the first 12 months following registration;</w:t>
      </w:r>
    </w:p>
    <w:p w14:paraId="71A61F64" w14:textId="74A11E9F" w:rsidR="00D17D50" w:rsidRPr="00D525A4" w:rsidRDefault="00D17D50" w:rsidP="009D2EB0">
      <w:pPr>
        <w:pStyle w:val="paragraph"/>
      </w:pPr>
      <w:r w:rsidRPr="00D525A4">
        <w:tab/>
        <w:t>(e)</w:t>
      </w:r>
      <w:r w:rsidRPr="00D525A4">
        <w:tab/>
        <w:t xml:space="preserve">information on the expected average total monetary value </w:t>
      </w:r>
      <w:r w:rsidR="0028536B" w:rsidRPr="00D525A4">
        <w:t xml:space="preserve">of the money, virtual assets and property </w:t>
      </w:r>
      <w:r w:rsidRPr="00D525A4">
        <w:t xml:space="preserve">that, in relation to </w:t>
      </w:r>
      <w:r w:rsidR="00F420FA" w:rsidRPr="00D525A4">
        <w:t xml:space="preserve">designated </w:t>
      </w:r>
      <w:r w:rsidRPr="00D525A4">
        <w:t xml:space="preserve">services covered by each of </w:t>
      </w:r>
      <w:r w:rsidR="0010391B" w:rsidRPr="00D525A4">
        <w:t>items 2</w:t>
      </w:r>
      <w:r w:rsidRPr="00D525A4">
        <w:t xml:space="preserve">9 and 30 of table 1 in </w:t>
      </w:r>
      <w:r w:rsidR="0010391B" w:rsidRPr="00D525A4">
        <w:t>section 6</w:t>
      </w:r>
      <w:r w:rsidRPr="00D525A4">
        <w:t xml:space="preserve"> of the Act </w:t>
      </w:r>
      <w:r w:rsidR="0090187E" w:rsidRPr="00D525A4">
        <w:t xml:space="preserve">that are </w:t>
      </w:r>
      <w:r w:rsidR="0090187E" w:rsidRPr="00D525A4">
        <w:lastRenderedPageBreak/>
        <w:t xml:space="preserve">registrable services </w:t>
      </w:r>
      <w:r w:rsidRPr="00D525A4">
        <w:t>it would provide, would be transferred</w:t>
      </w:r>
      <w:r w:rsidR="00C25A73" w:rsidRPr="00D525A4">
        <w:t xml:space="preserve"> </w:t>
      </w:r>
      <w:r w:rsidRPr="00D525A4">
        <w:t>per month over the first 12 months following registration;</w:t>
      </w:r>
    </w:p>
    <w:p w14:paraId="57B0DE42" w14:textId="40AD1A64" w:rsidR="009D2EB0" w:rsidRPr="00D525A4" w:rsidRDefault="009D2EB0" w:rsidP="009D2EB0">
      <w:pPr>
        <w:pStyle w:val="paragraph"/>
      </w:pPr>
      <w:r w:rsidRPr="00D525A4">
        <w:tab/>
        <w:t>(</w:t>
      </w:r>
      <w:r w:rsidR="00C92ED8" w:rsidRPr="00D525A4">
        <w:t>f</w:t>
      </w:r>
      <w:r w:rsidRPr="00D525A4">
        <w:t>)</w:t>
      </w:r>
      <w:r w:rsidRPr="00D525A4">
        <w:tab/>
        <w:t>whether any of the candidate’s key personnel have ever been a beneficial owner of, or operated or been involved in the management of, a person</w:t>
      </w:r>
      <w:r w:rsidRPr="00D525A4">
        <w:rPr>
          <w:i/>
          <w:iCs/>
        </w:rPr>
        <w:t xml:space="preserve"> </w:t>
      </w:r>
      <w:r w:rsidRPr="00D525A4">
        <w:t xml:space="preserve">(the </w:t>
      </w:r>
      <w:r w:rsidRPr="00D525A4">
        <w:rPr>
          <w:b/>
          <w:bCs/>
          <w:i/>
          <w:iCs/>
        </w:rPr>
        <w:t>other provider</w:t>
      </w:r>
      <w:r w:rsidRPr="00D525A4">
        <w:t>) who provides, or has provided, services of the same kind as the registrable services (whether or not there is a connection to Australia or a resident of Australia), and if so:</w:t>
      </w:r>
    </w:p>
    <w:p w14:paraId="374B7281" w14:textId="77777777" w:rsidR="009D2EB0" w:rsidRPr="00D525A4" w:rsidRDefault="009D2EB0" w:rsidP="009D2EB0">
      <w:pPr>
        <w:pStyle w:val="paragraphsub"/>
      </w:pPr>
      <w:r w:rsidRPr="00D525A4">
        <w:tab/>
        <w:t>(i)</w:t>
      </w:r>
      <w:r w:rsidRPr="00D525A4">
        <w:tab/>
        <w:t>the full name of the other provider; and</w:t>
      </w:r>
    </w:p>
    <w:p w14:paraId="6474813F" w14:textId="77777777" w:rsidR="009D2EB0" w:rsidRPr="00D525A4" w:rsidRDefault="009D2EB0" w:rsidP="009D2EB0">
      <w:pPr>
        <w:pStyle w:val="paragraphsub"/>
      </w:pPr>
      <w:r w:rsidRPr="00D525A4">
        <w:tab/>
        <w:t>(ii)</w:t>
      </w:r>
      <w:r w:rsidRPr="00D525A4">
        <w:tab/>
        <w:t>the key personnel’s role in or relationship with the other provider; and</w:t>
      </w:r>
    </w:p>
    <w:p w14:paraId="648F4B8A" w14:textId="77777777" w:rsidR="009D2EB0" w:rsidRPr="00D525A4" w:rsidRDefault="009D2EB0" w:rsidP="009D2EB0">
      <w:pPr>
        <w:pStyle w:val="paragraphsub"/>
      </w:pPr>
      <w:r w:rsidRPr="00D525A4">
        <w:tab/>
        <w:t>(iii)</w:t>
      </w:r>
      <w:r w:rsidRPr="00D525A4">
        <w:tab/>
        <w:t>the period for which the key personnel was a beneficial owner of, or operated or was involved in the management of, the other provider.</w:t>
      </w:r>
    </w:p>
    <w:p w14:paraId="27CEC7A7" w14:textId="6FDF3642" w:rsidR="009D2EB0" w:rsidRPr="00D525A4" w:rsidRDefault="00EC097E" w:rsidP="009D2EB0">
      <w:pPr>
        <w:pStyle w:val="ActHead5"/>
      </w:pPr>
      <w:bookmarkStart w:id="45" w:name="_Toc198224934"/>
      <w:r w:rsidRPr="00D525A4">
        <w:rPr>
          <w:rStyle w:val="CharSectno"/>
        </w:rPr>
        <w:t>3</w:t>
      </w:r>
      <w:r w:rsidR="00D525A4">
        <w:rPr>
          <w:rStyle w:val="CharSectno"/>
        </w:rPr>
        <w:noBreakHyphen/>
      </w:r>
      <w:r w:rsidRPr="00D525A4">
        <w:rPr>
          <w:rStyle w:val="CharSectno"/>
        </w:rPr>
        <w:t>13</w:t>
      </w:r>
      <w:r w:rsidR="009D2EB0" w:rsidRPr="00D525A4">
        <w:t xml:space="preserve">  Additional requirements for application for registration as a remittance affiliate of network provider</w:t>
      </w:r>
      <w:bookmarkEnd w:id="45"/>
    </w:p>
    <w:p w14:paraId="42CE1328" w14:textId="77777777" w:rsidR="009D2EB0" w:rsidRPr="00D525A4" w:rsidRDefault="009D2EB0" w:rsidP="009D2EB0">
      <w:pPr>
        <w:pStyle w:val="subsection"/>
      </w:pPr>
      <w:r w:rsidRPr="00D525A4">
        <w:tab/>
        <w:t>(1)</w:t>
      </w:r>
      <w:r w:rsidRPr="00D525A4">
        <w:tab/>
        <w:t>If the application is for the candidate to be registered as a remittance affiliate of a registered remittance network provider, the application must contain the following information:</w:t>
      </w:r>
    </w:p>
    <w:p w14:paraId="76C1B5ED" w14:textId="4C0E026C" w:rsidR="009D2EB0" w:rsidRPr="00D525A4" w:rsidRDefault="009D2EB0" w:rsidP="009D2EB0">
      <w:pPr>
        <w:pStyle w:val="paragraph"/>
      </w:pPr>
      <w:r w:rsidRPr="00D525A4">
        <w:tab/>
        <w:t>(a)</w:t>
      </w:r>
      <w:r w:rsidRPr="00D525A4">
        <w:tab/>
        <w:t>whether the candidate is</w:t>
      </w:r>
      <w:r w:rsidR="002938E3" w:rsidRPr="00D525A4">
        <w:t xml:space="preserve"> to be</w:t>
      </w:r>
      <w:r w:rsidRPr="00D525A4">
        <w:t xml:space="preserve"> represented</w:t>
      </w:r>
      <w:r w:rsidR="002938E3" w:rsidRPr="00D525A4">
        <w:t xml:space="preserve"> by a super</w:t>
      </w:r>
      <w:r w:rsidR="00D525A4">
        <w:noBreakHyphen/>
      </w:r>
      <w:r w:rsidR="002938E3" w:rsidRPr="00D525A4">
        <w:t>agent</w:t>
      </w:r>
      <w:r w:rsidRPr="00D525A4">
        <w:t xml:space="preserve"> in its dealings with the network provider;</w:t>
      </w:r>
    </w:p>
    <w:p w14:paraId="48B6CF4D" w14:textId="6202B963" w:rsidR="009D2EB0" w:rsidRPr="00D525A4" w:rsidRDefault="009D2EB0" w:rsidP="005C1C8E">
      <w:pPr>
        <w:pStyle w:val="paragraph"/>
      </w:pPr>
      <w:r w:rsidRPr="00D525A4">
        <w:tab/>
        <w:t>(b)</w:t>
      </w:r>
      <w:r w:rsidRPr="00D525A4">
        <w:tab/>
        <w:t xml:space="preserve">whether the candidate intends for a senior manager of the candidate to approve the registered remittance network provider’s ML/TF risk assessment and AML/CTF policies as mentioned in </w:t>
      </w:r>
      <w:r w:rsidR="0010391B" w:rsidRPr="00D525A4">
        <w:t>subsection 2</w:t>
      </w:r>
      <w:r w:rsidRPr="00D525A4">
        <w:t>6S(4) of the Act.</w:t>
      </w:r>
    </w:p>
    <w:p w14:paraId="283BA1D4" w14:textId="4EA55602" w:rsidR="009D2EB0" w:rsidRPr="00D525A4" w:rsidRDefault="009D2EB0" w:rsidP="009D2EB0">
      <w:pPr>
        <w:pStyle w:val="subsection"/>
      </w:pPr>
      <w:r w:rsidRPr="00D525A4">
        <w:tab/>
        <w:t>(2)</w:t>
      </w:r>
      <w:r w:rsidRPr="00D525A4">
        <w:tab/>
        <w:t xml:space="preserve">A </w:t>
      </w:r>
      <w:r w:rsidRPr="00D525A4">
        <w:rPr>
          <w:b/>
          <w:bCs/>
          <w:i/>
          <w:iCs/>
        </w:rPr>
        <w:t>super</w:t>
      </w:r>
      <w:r w:rsidR="00D525A4">
        <w:rPr>
          <w:b/>
          <w:bCs/>
          <w:i/>
          <w:iCs/>
        </w:rPr>
        <w:noBreakHyphen/>
      </w:r>
      <w:r w:rsidRPr="00D525A4">
        <w:rPr>
          <w:b/>
          <w:bCs/>
          <w:i/>
          <w:iCs/>
        </w:rPr>
        <w:t>agent</w:t>
      </w:r>
      <w:r w:rsidRPr="00D525A4">
        <w:t xml:space="preserve"> is a person who, in the course of carrying on a business:</w:t>
      </w:r>
    </w:p>
    <w:p w14:paraId="12BC083A" w14:textId="77777777" w:rsidR="009D2EB0" w:rsidRPr="00D525A4" w:rsidRDefault="009D2EB0" w:rsidP="009D2EB0">
      <w:pPr>
        <w:pStyle w:val="paragraph"/>
      </w:pPr>
      <w:r w:rsidRPr="00D525A4">
        <w:tab/>
        <w:t>(a)</w:t>
      </w:r>
      <w:r w:rsidRPr="00D525A4">
        <w:tab/>
        <w:t>provides administrative services to a registered remittance network provider to assist with the control or management of the remittance network operated by the provider; and</w:t>
      </w:r>
    </w:p>
    <w:p w14:paraId="5294541D" w14:textId="77777777" w:rsidR="009D2EB0" w:rsidRPr="00D525A4" w:rsidRDefault="009D2EB0" w:rsidP="009D2EB0">
      <w:pPr>
        <w:pStyle w:val="paragraph"/>
      </w:pPr>
      <w:r w:rsidRPr="00D525A4">
        <w:tab/>
        <w:t>(b)</w:t>
      </w:r>
      <w:r w:rsidRPr="00D525A4">
        <w:tab/>
        <w:t>as part of providing those services, represents the interests of remittance affiliates of the provider in their dealings with the provider.</w:t>
      </w:r>
    </w:p>
    <w:p w14:paraId="435FBED0" w14:textId="137E2D4F" w:rsidR="009D2EB0" w:rsidRPr="00D525A4" w:rsidRDefault="00EC097E" w:rsidP="009D2EB0">
      <w:pPr>
        <w:pStyle w:val="ActHead5"/>
      </w:pPr>
      <w:bookmarkStart w:id="46" w:name="_Toc198224935"/>
      <w:r w:rsidRPr="00D525A4">
        <w:rPr>
          <w:rStyle w:val="CharSectno"/>
        </w:rPr>
        <w:t>3</w:t>
      </w:r>
      <w:r w:rsidR="00D525A4">
        <w:rPr>
          <w:rStyle w:val="CharSectno"/>
        </w:rPr>
        <w:noBreakHyphen/>
      </w:r>
      <w:r w:rsidRPr="00D525A4">
        <w:rPr>
          <w:rStyle w:val="CharSectno"/>
        </w:rPr>
        <w:t>14</w:t>
      </w:r>
      <w:r w:rsidR="009D2EB0" w:rsidRPr="00D525A4">
        <w:t xml:space="preserve">  Additional requirements for application for registration as a virtual asset service provider</w:t>
      </w:r>
      <w:bookmarkEnd w:id="46"/>
    </w:p>
    <w:p w14:paraId="4B281944" w14:textId="5247D059" w:rsidR="009D2EB0" w:rsidRPr="00D525A4" w:rsidRDefault="009D2EB0" w:rsidP="009D2EB0">
      <w:pPr>
        <w:pStyle w:val="subsection"/>
      </w:pPr>
      <w:r w:rsidRPr="00D525A4">
        <w:tab/>
      </w:r>
      <w:r w:rsidRPr="00D525A4">
        <w:tab/>
        <w:t>If the application is under sub</w:t>
      </w:r>
      <w:r w:rsidR="0013261E" w:rsidRPr="00D525A4">
        <w:t>section 7</w:t>
      </w:r>
      <w:r w:rsidRPr="00D525A4">
        <w:t>6D(1) of the Act, for registration as a virtual asset service provider, the application must contain the following information:</w:t>
      </w:r>
    </w:p>
    <w:p w14:paraId="5C5E1F2B" w14:textId="4BE571F8" w:rsidR="009D2EB0" w:rsidRPr="00D525A4" w:rsidRDefault="009D2EB0" w:rsidP="009D2EB0">
      <w:pPr>
        <w:pStyle w:val="paragraph"/>
      </w:pPr>
      <w:r w:rsidRPr="00D525A4">
        <w:tab/>
        <w:t>(a)</w:t>
      </w:r>
      <w:r w:rsidRPr="00D525A4">
        <w:tab/>
        <w:t xml:space="preserve">information on the kind of virtual assets in relation to which </w:t>
      </w:r>
      <w:r w:rsidR="00CF763D" w:rsidRPr="00D525A4">
        <w:t xml:space="preserve">the </w:t>
      </w:r>
      <w:r w:rsidRPr="00D525A4">
        <w:t>candidate will provide its registrable services;</w:t>
      </w:r>
    </w:p>
    <w:p w14:paraId="21DE89D1" w14:textId="77777777" w:rsidR="009D2EB0" w:rsidRPr="00D525A4" w:rsidRDefault="009D2EB0" w:rsidP="009D2EB0">
      <w:pPr>
        <w:pStyle w:val="paragraph"/>
      </w:pPr>
      <w:r w:rsidRPr="00D525A4">
        <w:tab/>
        <w:t>(b)</w:t>
      </w:r>
      <w:r w:rsidRPr="00D525A4">
        <w:tab/>
        <w:t>details of the delivery channels by which the registrable services are intended to be provided;</w:t>
      </w:r>
    </w:p>
    <w:p w14:paraId="7159DE8E" w14:textId="77777777" w:rsidR="009D2EB0" w:rsidRPr="00D525A4" w:rsidRDefault="009D2EB0" w:rsidP="009D2EB0">
      <w:pPr>
        <w:pStyle w:val="paragraph"/>
      </w:pPr>
      <w:r w:rsidRPr="00D525A4">
        <w:tab/>
        <w:t>(c)</w:t>
      </w:r>
      <w:r w:rsidRPr="00D525A4">
        <w:tab/>
        <w:t>information on the methods by which customers’ virtual assets or money may be used in any exchanges relating to the registrable services;</w:t>
      </w:r>
    </w:p>
    <w:p w14:paraId="1FBBE04E" w14:textId="77777777" w:rsidR="009D2EB0" w:rsidRPr="00D525A4" w:rsidRDefault="009D2EB0" w:rsidP="009D2EB0">
      <w:pPr>
        <w:pStyle w:val="paragraph"/>
      </w:pPr>
      <w:r w:rsidRPr="00D525A4">
        <w:tab/>
        <w:t>(d)</w:t>
      </w:r>
      <w:r w:rsidRPr="00D525A4">
        <w:tab/>
        <w:t>whether the candidate will implement any transaction or time limits on the amounts of virtual assets or money that customers can use in any exchanges relating to the registrable services, and if so, details of what limits will apply;</w:t>
      </w:r>
    </w:p>
    <w:p w14:paraId="0598C76A" w14:textId="6282B38B" w:rsidR="009D2EB0" w:rsidRPr="00D525A4" w:rsidRDefault="009D2EB0" w:rsidP="009D2EB0">
      <w:pPr>
        <w:pStyle w:val="paragraph"/>
      </w:pPr>
      <w:r w:rsidRPr="00D525A4">
        <w:lastRenderedPageBreak/>
        <w:tab/>
        <w:t>(e)</w:t>
      </w:r>
      <w:r w:rsidRPr="00D525A4">
        <w:tab/>
        <w:t xml:space="preserve">information </w:t>
      </w:r>
      <w:r w:rsidR="0090187E" w:rsidRPr="00D525A4">
        <w:t>on</w:t>
      </w:r>
      <w:r w:rsidRPr="00D525A4">
        <w:t>:</w:t>
      </w:r>
    </w:p>
    <w:p w14:paraId="5126CE07" w14:textId="1E39AFE2" w:rsidR="009D2EB0" w:rsidRPr="00D525A4" w:rsidRDefault="009D2EB0" w:rsidP="009D2EB0">
      <w:pPr>
        <w:pStyle w:val="paragraphsub"/>
      </w:pPr>
      <w:r w:rsidRPr="00D525A4">
        <w:tab/>
        <w:t>(i)</w:t>
      </w:r>
      <w:r w:rsidRPr="00D525A4">
        <w:tab/>
        <w:t>the expected average number of</w:t>
      </w:r>
      <w:r w:rsidR="003A0735" w:rsidRPr="00D525A4">
        <w:t xml:space="preserve"> </w:t>
      </w:r>
      <w:r w:rsidRPr="00D525A4">
        <w:t>designated services</w:t>
      </w:r>
      <w:r w:rsidR="003A0735" w:rsidRPr="00D525A4">
        <w:t xml:space="preserve"> </w:t>
      </w:r>
      <w:r w:rsidRPr="00D525A4">
        <w:t>covered by each of items </w:t>
      </w:r>
      <w:r w:rsidR="005C2A0E" w:rsidRPr="00D525A4">
        <w:t xml:space="preserve">29, 30, </w:t>
      </w:r>
      <w:r w:rsidRPr="00D525A4">
        <w:t xml:space="preserve">46A, 50A, 50B and 50C of table 1 in </w:t>
      </w:r>
      <w:r w:rsidR="0010391B" w:rsidRPr="00D525A4">
        <w:t>section 6</w:t>
      </w:r>
      <w:r w:rsidRPr="00D525A4">
        <w:t xml:space="preserve"> of the Act</w:t>
      </w:r>
      <w:r w:rsidR="00342340" w:rsidRPr="00D525A4">
        <w:t xml:space="preserve"> that</w:t>
      </w:r>
      <w:r w:rsidRPr="00D525A4">
        <w:t xml:space="preserve"> </w:t>
      </w:r>
      <w:r w:rsidR="0090187E" w:rsidRPr="00D525A4">
        <w:t xml:space="preserve">are registrable services </w:t>
      </w:r>
      <w:r w:rsidRPr="00D525A4">
        <w:t>the candidate would provide per month over the first 12 months following registration; and</w:t>
      </w:r>
    </w:p>
    <w:p w14:paraId="58BAB5F0" w14:textId="00C9E3E3" w:rsidR="009D2EB0" w:rsidRPr="00D525A4" w:rsidRDefault="009D2EB0" w:rsidP="009D2EB0">
      <w:pPr>
        <w:pStyle w:val="paragraphsub"/>
      </w:pPr>
      <w:r w:rsidRPr="00D525A4">
        <w:tab/>
        <w:t>(ii)</w:t>
      </w:r>
      <w:r w:rsidRPr="00D525A4">
        <w:tab/>
        <w:t xml:space="preserve">the expected average total monetary value of customers’ </w:t>
      </w:r>
      <w:r w:rsidR="0090187E" w:rsidRPr="00D525A4">
        <w:t>money, virtual assets and property</w:t>
      </w:r>
      <w:r w:rsidRPr="00D525A4">
        <w:t xml:space="preserve"> with which the candidate would deal</w:t>
      </w:r>
      <w:r w:rsidR="0090187E" w:rsidRPr="00D525A4">
        <w:t>,</w:t>
      </w:r>
      <w:r w:rsidRPr="00D525A4">
        <w:t xml:space="preserve"> in relation to</w:t>
      </w:r>
      <w:r w:rsidR="003A0735" w:rsidRPr="00D525A4">
        <w:t xml:space="preserve"> </w:t>
      </w:r>
      <w:r w:rsidRPr="00D525A4">
        <w:t>designated services covered by each of items </w:t>
      </w:r>
      <w:r w:rsidR="005C2A0E" w:rsidRPr="00D525A4">
        <w:t xml:space="preserve">29, 30, </w:t>
      </w:r>
      <w:r w:rsidRPr="00D525A4">
        <w:t xml:space="preserve">46A, 50A, 50B and 50C of table 1 in </w:t>
      </w:r>
      <w:r w:rsidR="0010391B" w:rsidRPr="00D525A4">
        <w:t>section 6</w:t>
      </w:r>
      <w:r w:rsidRPr="00D525A4">
        <w:t xml:space="preserve"> of the Act</w:t>
      </w:r>
      <w:r w:rsidR="0090187E" w:rsidRPr="00D525A4">
        <w:t xml:space="preserve"> that are registrable services,</w:t>
      </w:r>
      <w:r w:rsidRPr="00D525A4">
        <w:t xml:space="preserve"> per month over the first 12 months following registration;</w:t>
      </w:r>
    </w:p>
    <w:p w14:paraId="0DE29866" w14:textId="77777777" w:rsidR="009D2EB0" w:rsidRPr="00D525A4" w:rsidRDefault="009D2EB0" w:rsidP="009D2EB0">
      <w:pPr>
        <w:pStyle w:val="paragraph"/>
      </w:pPr>
      <w:r w:rsidRPr="00D525A4">
        <w:tab/>
        <w:t>(f)</w:t>
      </w:r>
      <w:r w:rsidRPr="00D525A4">
        <w:tab/>
        <w:t>for each virtual asset wallet controlled by the candidate:</w:t>
      </w:r>
    </w:p>
    <w:p w14:paraId="48FD3D39" w14:textId="0106B62E" w:rsidR="009D2EB0" w:rsidRPr="00D525A4" w:rsidRDefault="009D2EB0" w:rsidP="009D2EB0">
      <w:pPr>
        <w:pStyle w:val="paragraphsub"/>
      </w:pPr>
      <w:r w:rsidRPr="00D525A4">
        <w:tab/>
        <w:t>(i)</w:t>
      </w:r>
      <w:r w:rsidRPr="00D525A4">
        <w:tab/>
        <w:t>the kinds of virtual asset</w:t>
      </w:r>
      <w:r w:rsidR="00BB0084" w:rsidRPr="00D525A4">
        <w:t>s</w:t>
      </w:r>
      <w:r w:rsidRPr="00D525A4">
        <w:t xml:space="preserve"> the wallet can store; and</w:t>
      </w:r>
    </w:p>
    <w:p w14:paraId="4D840C51" w14:textId="55FE2EAF" w:rsidR="003A0735" w:rsidRPr="00D525A4" w:rsidRDefault="009D2EB0" w:rsidP="003A0735">
      <w:pPr>
        <w:pStyle w:val="paragraphsub"/>
      </w:pPr>
      <w:r w:rsidRPr="00D525A4">
        <w:tab/>
        <w:t>(ii)</w:t>
      </w:r>
      <w:r w:rsidRPr="00D525A4">
        <w:tab/>
        <w:t>the address of the wallet.</w:t>
      </w:r>
    </w:p>
    <w:p w14:paraId="3ED5D9C7" w14:textId="58BD2794" w:rsidR="009D2EB0" w:rsidRPr="00D525A4" w:rsidRDefault="0013261E" w:rsidP="009D2EB0">
      <w:pPr>
        <w:pStyle w:val="ActHead3"/>
        <w:pageBreakBefore/>
      </w:pPr>
      <w:bookmarkStart w:id="47" w:name="_Toc198224936"/>
      <w:r w:rsidRPr="00D525A4">
        <w:rPr>
          <w:rStyle w:val="CharDivNo"/>
        </w:rPr>
        <w:lastRenderedPageBreak/>
        <w:t>Division 3</w:t>
      </w:r>
      <w:r w:rsidR="009D2EB0" w:rsidRPr="00D525A4">
        <w:t>—</w:t>
      </w:r>
      <w:r w:rsidR="009D2EB0" w:rsidRPr="00D525A4">
        <w:rPr>
          <w:rStyle w:val="CharDivText"/>
        </w:rPr>
        <w:t>Registration decisions</w:t>
      </w:r>
      <w:bookmarkEnd w:id="47"/>
    </w:p>
    <w:p w14:paraId="2D108089" w14:textId="5FC348A7" w:rsidR="009D2EB0" w:rsidRPr="00D525A4" w:rsidRDefault="00EC097E" w:rsidP="009D2EB0">
      <w:pPr>
        <w:pStyle w:val="ActHead5"/>
      </w:pPr>
      <w:bookmarkStart w:id="48" w:name="_Toc198224937"/>
      <w:r w:rsidRPr="00D525A4">
        <w:rPr>
          <w:rStyle w:val="CharSectno"/>
        </w:rPr>
        <w:t>3</w:t>
      </w:r>
      <w:r w:rsidR="00D525A4">
        <w:rPr>
          <w:rStyle w:val="CharSectno"/>
        </w:rPr>
        <w:noBreakHyphen/>
      </w:r>
      <w:r w:rsidRPr="00D525A4">
        <w:rPr>
          <w:rStyle w:val="CharSectno"/>
        </w:rPr>
        <w:t>15</w:t>
      </w:r>
      <w:r w:rsidR="009D2EB0" w:rsidRPr="00D525A4">
        <w:t xml:space="preserve">  Registration decisions—matters to which AUSTRAC CEO must have regard</w:t>
      </w:r>
      <w:bookmarkEnd w:id="48"/>
    </w:p>
    <w:p w14:paraId="6D1FC80E" w14:textId="5B4A2E0B" w:rsidR="009D2EB0" w:rsidRPr="00D525A4" w:rsidRDefault="009D2EB0" w:rsidP="009D2EB0">
      <w:pPr>
        <w:pStyle w:val="subsection"/>
      </w:pPr>
      <w:r w:rsidRPr="00D525A4">
        <w:tab/>
      </w:r>
      <w:r w:rsidRPr="00D525A4">
        <w:tab/>
        <w:t xml:space="preserve">For the purposes of paragraphs 75C(2)(b) and 76E(2)(b) of the Act, in deciding whether to register a person (the </w:t>
      </w:r>
      <w:r w:rsidRPr="00D525A4">
        <w:rPr>
          <w:b/>
          <w:bCs/>
          <w:i/>
          <w:iCs/>
        </w:rPr>
        <w:t>candidate</w:t>
      </w:r>
      <w:r w:rsidRPr="00D525A4">
        <w:t xml:space="preserve">) in accordance with an application made under </w:t>
      </w:r>
      <w:r w:rsidR="0013261E" w:rsidRPr="00D525A4">
        <w:t>section 7</w:t>
      </w:r>
      <w:r w:rsidRPr="00D525A4">
        <w:t>5B or 76D of the Act, the other matters to which the AUSTRAC CEO must have regard are as follows:</w:t>
      </w:r>
    </w:p>
    <w:p w14:paraId="774ABB71" w14:textId="77777777" w:rsidR="009D2EB0" w:rsidRPr="00D525A4" w:rsidRDefault="009D2EB0" w:rsidP="009D2EB0">
      <w:pPr>
        <w:pStyle w:val="paragraph"/>
      </w:pPr>
      <w:r w:rsidRPr="00D525A4">
        <w:tab/>
        <w:t>(a)</w:t>
      </w:r>
      <w:r w:rsidRPr="00D525A4">
        <w:tab/>
        <w:t>any offences of which the candidate, or any key personnel of the candidate, has been charged or convicted under the law of the Commonwealth, a State or Territory or a foreign country;</w:t>
      </w:r>
    </w:p>
    <w:p w14:paraId="0905CFB8" w14:textId="012FD6E1" w:rsidR="009D2EB0" w:rsidRPr="00D525A4" w:rsidRDefault="009D2EB0" w:rsidP="009D2EB0">
      <w:pPr>
        <w:pStyle w:val="paragraph"/>
      </w:pPr>
      <w:r w:rsidRPr="00D525A4">
        <w:tab/>
        <w:t>(b)</w:t>
      </w:r>
      <w:r w:rsidRPr="00D525A4">
        <w:tab/>
        <w:t>compliance or non</w:t>
      </w:r>
      <w:r w:rsidR="00D525A4">
        <w:noBreakHyphen/>
      </w:r>
      <w:r w:rsidRPr="00D525A4">
        <w:t>compliance by the following with the Act or any other law of the Commonwealth, a State or Territory or a foreign country:</w:t>
      </w:r>
    </w:p>
    <w:p w14:paraId="3EFE8E73" w14:textId="77777777" w:rsidR="009D2EB0" w:rsidRPr="00D525A4" w:rsidRDefault="009D2EB0" w:rsidP="009D2EB0">
      <w:pPr>
        <w:pStyle w:val="paragraphsub"/>
      </w:pPr>
      <w:r w:rsidRPr="00D525A4">
        <w:tab/>
        <w:t>(i)</w:t>
      </w:r>
      <w:r w:rsidRPr="00D525A4">
        <w:tab/>
        <w:t>the candidate;</w:t>
      </w:r>
    </w:p>
    <w:p w14:paraId="46ABABFE" w14:textId="77777777" w:rsidR="009D2EB0" w:rsidRPr="00D525A4" w:rsidRDefault="009D2EB0" w:rsidP="009D2EB0">
      <w:pPr>
        <w:pStyle w:val="paragraphsub"/>
      </w:pPr>
      <w:r w:rsidRPr="00D525A4">
        <w:tab/>
        <w:t>(ii)</w:t>
      </w:r>
      <w:r w:rsidRPr="00D525A4">
        <w:tab/>
        <w:t>if the candidate is not an individual—any beneficial owners of the candidate;</w:t>
      </w:r>
    </w:p>
    <w:p w14:paraId="42F1FD6C" w14:textId="77777777" w:rsidR="009D2EB0" w:rsidRPr="00D525A4" w:rsidRDefault="009D2EB0" w:rsidP="009D2EB0">
      <w:pPr>
        <w:pStyle w:val="paragraphsub"/>
      </w:pPr>
      <w:r w:rsidRPr="00D525A4">
        <w:tab/>
        <w:t>(iii)</w:t>
      </w:r>
      <w:r w:rsidRPr="00D525A4">
        <w:tab/>
        <w:t xml:space="preserve">if the candidate is a body corporate—any related body corporate (within the meaning of the </w:t>
      </w:r>
      <w:r w:rsidRPr="00D525A4">
        <w:rPr>
          <w:i/>
          <w:iCs/>
        </w:rPr>
        <w:t>Corporations Act 2001</w:t>
      </w:r>
      <w:r w:rsidRPr="00D525A4">
        <w:t>);</w:t>
      </w:r>
    </w:p>
    <w:p w14:paraId="58940361" w14:textId="77777777" w:rsidR="009D2EB0" w:rsidRPr="00D525A4" w:rsidRDefault="009D2EB0" w:rsidP="009D2EB0">
      <w:pPr>
        <w:pStyle w:val="paragraphsub"/>
      </w:pPr>
      <w:r w:rsidRPr="00D525A4">
        <w:tab/>
        <w:t>(iv)</w:t>
      </w:r>
      <w:r w:rsidRPr="00D525A4">
        <w:tab/>
        <w:t>if the registration would be as a remittance affiliate of a registered network provider—the registered network provider;</w:t>
      </w:r>
    </w:p>
    <w:p w14:paraId="09B52CD0" w14:textId="5C1A0669" w:rsidR="009D2EB0" w:rsidRPr="00D525A4" w:rsidRDefault="009D2EB0" w:rsidP="009D2EB0">
      <w:pPr>
        <w:pStyle w:val="paragraph"/>
      </w:pPr>
      <w:r w:rsidRPr="00D525A4">
        <w:tab/>
        <w:t>(c)</w:t>
      </w:r>
      <w:r w:rsidRPr="00D525A4">
        <w:tab/>
        <w:t>for an application made under sub</w:t>
      </w:r>
      <w:r w:rsidR="0013261E" w:rsidRPr="00D525A4">
        <w:t>section 7</w:t>
      </w:r>
      <w:r w:rsidRPr="00D525A4">
        <w:t>5B(2) by a registered remittance network provider for the candidate to be registered as a remittance affiliate of the registered remittance network provider—whether the consent of the candidate has been obtained;</w:t>
      </w:r>
    </w:p>
    <w:p w14:paraId="0684EB74" w14:textId="77777777" w:rsidR="009D2EB0" w:rsidRPr="00D525A4" w:rsidRDefault="009D2EB0" w:rsidP="009D2EB0">
      <w:pPr>
        <w:pStyle w:val="paragraph"/>
      </w:pPr>
      <w:r w:rsidRPr="00D525A4">
        <w:tab/>
        <w:t>(d)</w:t>
      </w:r>
      <w:r w:rsidRPr="00D525A4">
        <w:tab/>
        <w:t>whether the candidate and its key personnel have sufficient experience in functions relevant to the candidate’s obligations under the Act, and functions relevant to providing registrable services;</w:t>
      </w:r>
    </w:p>
    <w:p w14:paraId="344963FC" w14:textId="77777777" w:rsidR="009D2EB0" w:rsidRPr="00D525A4" w:rsidRDefault="009D2EB0" w:rsidP="009D2EB0">
      <w:pPr>
        <w:pStyle w:val="paragraph"/>
      </w:pPr>
      <w:r w:rsidRPr="00D525A4">
        <w:tab/>
        <w:t>(e)</w:t>
      </w:r>
      <w:r w:rsidRPr="00D525A4">
        <w:tab/>
        <w:t>the operational readiness of the candidate in relation to the proposed registration, including its ability to comply with the Act, the regulations and the AML/CTF Rules following registration;</w:t>
      </w:r>
    </w:p>
    <w:p w14:paraId="7E8D7FC7" w14:textId="7A0A0CC4" w:rsidR="009D2EB0" w:rsidRPr="00D525A4" w:rsidRDefault="009D2EB0" w:rsidP="009D2EB0">
      <w:pPr>
        <w:pStyle w:val="paragraph"/>
      </w:pPr>
      <w:r w:rsidRPr="00D525A4">
        <w:tab/>
        <w:t>(f)</w:t>
      </w:r>
      <w:r w:rsidRPr="00D525A4">
        <w:tab/>
        <w:t>the proposed resourcing (including personnel resourcing) of the candidate in relation to the provision of its registrable services.</w:t>
      </w:r>
    </w:p>
    <w:p w14:paraId="68C465BF" w14:textId="799803B9" w:rsidR="009D2EB0" w:rsidRPr="00D525A4" w:rsidRDefault="0013261E" w:rsidP="009D2EB0">
      <w:pPr>
        <w:pStyle w:val="ActHead3"/>
        <w:pageBreakBefore/>
      </w:pPr>
      <w:bookmarkStart w:id="49" w:name="_Toc198224938"/>
      <w:r w:rsidRPr="00D525A4">
        <w:rPr>
          <w:rStyle w:val="CharDivNo"/>
        </w:rPr>
        <w:lastRenderedPageBreak/>
        <w:t>Division </w:t>
      </w:r>
      <w:r w:rsidR="000B50E5" w:rsidRPr="00D525A4">
        <w:rPr>
          <w:rStyle w:val="CharDivNo"/>
        </w:rPr>
        <w:t>4</w:t>
      </w:r>
      <w:r w:rsidR="009D2EB0" w:rsidRPr="00D525A4">
        <w:t>—</w:t>
      </w:r>
      <w:r w:rsidR="009D2EB0" w:rsidRPr="00D525A4">
        <w:rPr>
          <w:rStyle w:val="CharDivText"/>
        </w:rPr>
        <w:t>Suspension of registration</w:t>
      </w:r>
      <w:bookmarkEnd w:id="49"/>
    </w:p>
    <w:p w14:paraId="518031A5" w14:textId="72B9CCAC" w:rsidR="009D2EB0" w:rsidRPr="00D525A4" w:rsidRDefault="00EC097E" w:rsidP="009D2EB0">
      <w:pPr>
        <w:pStyle w:val="ActHead5"/>
      </w:pPr>
      <w:bookmarkStart w:id="50" w:name="_Toc198224939"/>
      <w:r w:rsidRPr="00D525A4">
        <w:rPr>
          <w:rStyle w:val="CharSectno"/>
        </w:rPr>
        <w:t>3</w:t>
      </w:r>
      <w:r w:rsidR="00D525A4">
        <w:rPr>
          <w:rStyle w:val="CharSectno"/>
        </w:rPr>
        <w:noBreakHyphen/>
      </w:r>
      <w:r w:rsidRPr="00D525A4">
        <w:rPr>
          <w:rStyle w:val="CharSectno"/>
        </w:rPr>
        <w:t>16</w:t>
      </w:r>
      <w:r w:rsidR="009D2EB0" w:rsidRPr="00D525A4">
        <w:t xml:space="preserve">  Purpose of this Division</w:t>
      </w:r>
      <w:bookmarkEnd w:id="50"/>
    </w:p>
    <w:p w14:paraId="3DFD57F0" w14:textId="3149D40D" w:rsidR="009D2EB0" w:rsidRPr="00D525A4" w:rsidRDefault="009D2EB0" w:rsidP="009D2EB0">
      <w:pPr>
        <w:pStyle w:val="subsection"/>
      </w:pPr>
      <w:r w:rsidRPr="00D525A4">
        <w:tab/>
      </w:r>
      <w:r w:rsidRPr="00D525A4">
        <w:tab/>
        <w:t xml:space="preserve">This Division is made for the purposes of </w:t>
      </w:r>
      <w:r w:rsidR="0013261E" w:rsidRPr="00D525A4">
        <w:t>sections 7</w:t>
      </w:r>
      <w:r w:rsidRPr="00D525A4">
        <w:t>5H and 76K of the Act.</w:t>
      </w:r>
    </w:p>
    <w:p w14:paraId="3B237997" w14:textId="4F539B9C" w:rsidR="009D2EB0" w:rsidRPr="00D525A4" w:rsidRDefault="00EC097E" w:rsidP="009D2EB0">
      <w:pPr>
        <w:pStyle w:val="ActHead5"/>
      </w:pPr>
      <w:bookmarkStart w:id="51" w:name="_Toc198224940"/>
      <w:r w:rsidRPr="00D525A4">
        <w:rPr>
          <w:rStyle w:val="CharSectno"/>
        </w:rPr>
        <w:t>3</w:t>
      </w:r>
      <w:r w:rsidR="00D525A4">
        <w:rPr>
          <w:rStyle w:val="CharSectno"/>
        </w:rPr>
        <w:noBreakHyphen/>
      </w:r>
      <w:r w:rsidRPr="00D525A4">
        <w:rPr>
          <w:rStyle w:val="CharSectno"/>
        </w:rPr>
        <w:t>17</w:t>
      </w:r>
      <w:r w:rsidR="009D2EB0" w:rsidRPr="00D525A4">
        <w:t xml:space="preserve">  Suspension of registration</w:t>
      </w:r>
      <w:bookmarkEnd w:id="51"/>
    </w:p>
    <w:p w14:paraId="5AFC62CE" w14:textId="6830F297" w:rsidR="009D2EB0" w:rsidRPr="00D525A4" w:rsidRDefault="009D2EB0" w:rsidP="009D2EB0">
      <w:pPr>
        <w:pStyle w:val="subsection"/>
      </w:pPr>
      <w:r w:rsidRPr="00D525A4">
        <w:tab/>
      </w:r>
      <w:r w:rsidRPr="00D525A4">
        <w:tab/>
        <w:t xml:space="preserve">The AUSTRAC CEO may suspend a person’s registration under </w:t>
      </w:r>
      <w:r w:rsidR="0013261E" w:rsidRPr="00D525A4">
        <w:t>Part 6</w:t>
      </w:r>
      <w:r w:rsidRPr="00D525A4">
        <w:t xml:space="preserve"> or 6A of the Act if the AUSTRAC CEO reasonably suspects that:</w:t>
      </w:r>
    </w:p>
    <w:p w14:paraId="1F676795" w14:textId="77777777" w:rsidR="009D2EB0" w:rsidRPr="00D525A4" w:rsidRDefault="009D2EB0" w:rsidP="009D2EB0">
      <w:pPr>
        <w:pStyle w:val="paragraph"/>
      </w:pPr>
      <w:r w:rsidRPr="00D525A4">
        <w:tab/>
        <w:t>(a)</w:t>
      </w:r>
      <w:r w:rsidRPr="00D525A4">
        <w:tab/>
        <w:t>the person or any of its key personnel has been charged or convicted of an offence against the Act, or of an offence against a law of the Commonwealth, a State or Territory or a foreign country of any of the following kinds:</w:t>
      </w:r>
    </w:p>
    <w:p w14:paraId="5CFD8470" w14:textId="77777777" w:rsidR="009D2EB0" w:rsidRPr="00D525A4" w:rsidRDefault="009D2EB0" w:rsidP="009D2EB0">
      <w:pPr>
        <w:pStyle w:val="paragraphsub"/>
      </w:pPr>
      <w:r w:rsidRPr="00D525A4">
        <w:tab/>
        <w:t>(i)</w:t>
      </w:r>
      <w:r w:rsidRPr="00D525A4">
        <w:tab/>
        <w:t>money laundering;</w:t>
      </w:r>
    </w:p>
    <w:p w14:paraId="04CE9734" w14:textId="77777777" w:rsidR="009D2EB0" w:rsidRPr="00D525A4" w:rsidRDefault="009D2EB0" w:rsidP="009D2EB0">
      <w:pPr>
        <w:pStyle w:val="paragraphsub"/>
      </w:pPr>
      <w:r w:rsidRPr="00D525A4">
        <w:tab/>
        <w:t>(ii)</w:t>
      </w:r>
      <w:r w:rsidRPr="00D525A4">
        <w:tab/>
        <w:t>terrorism or financing of terrorism;</w:t>
      </w:r>
    </w:p>
    <w:p w14:paraId="048B698E" w14:textId="77777777" w:rsidR="009D2EB0" w:rsidRPr="00D525A4" w:rsidRDefault="009D2EB0" w:rsidP="009D2EB0">
      <w:pPr>
        <w:pStyle w:val="paragraphsub"/>
      </w:pPr>
      <w:r w:rsidRPr="00D525A4">
        <w:tab/>
        <w:t>(iii)</w:t>
      </w:r>
      <w:r w:rsidRPr="00D525A4">
        <w:tab/>
        <w:t>people smuggling;</w:t>
      </w:r>
    </w:p>
    <w:p w14:paraId="735D20E2" w14:textId="77777777" w:rsidR="009D2EB0" w:rsidRPr="00D525A4" w:rsidRDefault="009D2EB0" w:rsidP="009D2EB0">
      <w:pPr>
        <w:pStyle w:val="paragraphsub"/>
      </w:pPr>
      <w:r w:rsidRPr="00D525A4">
        <w:tab/>
        <w:t>(iv)</w:t>
      </w:r>
      <w:r w:rsidRPr="00D525A4">
        <w:tab/>
        <w:t>fraud (including scams);</w:t>
      </w:r>
    </w:p>
    <w:p w14:paraId="56C37610" w14:textId="77777777" w:rsidR="009D2EB0" w:rsidRPr="00D525A4" w:rsidRDefault="009D2EB0" w:rsidP="009D2EB0">
      <w:pPr>
        <w:pStyle w:val="paragraphsub"/>
      </w:pPr>
      <w:r w:rsidRPr="00D525A4">
        <w:tab/>
        <w:t>(v)</w:t>
      </w:r>
      <w:r w:rsidRPr="00D525A4">
        <w:tab/>
        <w:t>a serious offence of any other kind; or</w:t>
      </w:r>
    </w:p>
    <w:p w14:paraId="23951650" w14:textId="77777777" w:rsidR="009D2EB0" w:rsidRPr="00D525A4" w:rsidRDefault="009D2EB0" w:rsidP="009D2EB0">
      <w:pPr>
        <w:pStyle w:val="paragraph"/>
      </w:pPr>
      <w:r w:rsidRPr="00D525A4">
        <w:tab/>
        <w:t>(b)</w:t>
      </w:r>
      <w:r w:rsidRPr="00D525A4">
        <w:tab/>
        <w:t>the person or any of its key personnel has been found by the Federal Court to have contravened the Act; or</w:t>
      </w:r>
    </w:p>
    <w:p w14:paraId="2985AE04" w14:textId="77777777" w:rsidR="009D2EB0" w:rsidRPr="00D525A4" w:rsidRDefault="009D2EB0" w:rsidP="009D2EB0">
      <w:pPr>
        <w:pStyle w:val="paragraph"/>
      </w:pPr>
      <w:r w:rsidRPr="00D525A4">
        <w:tab/>
        <w:t>(c)</w:t>
      </w:r>
      <w:r w:rsidRPr="00D525A4">
        <w:tab/>
        <w:t>the person or any of its key personnel has been the subject of civil or criminal proceedings, or any enforcement action that:</w:t>
      </w:r>
    </w:p>
    <w:p w14:paraId="087196B7" w14:textId="77777777" w:rsidR="009D2EB0" w:rsidRPr="00D525A4" w:rsidRDefault="009D2EB0" w:rsidP="009D2EB0">
      <w:pPr>
        <w:pStyle w:val="paragraphsub"/>
      </w:pPr>
      <w:r w:rsidRPr="00D525A4">
        <w:tab/>
        <w:t>(i)</w:t>
      </w:r>
      <w:r w:rsidRPr="00D525A4">
        <w:tab/>
        <w:t>related to the management of an entity or commercial or professional activity; and</w:t>
      </w:r>
    </w:p>
    <w:p w14:paraId="08AF93FF" w14:textId="2EB3C4FA" w:rsidR="009D2EB0" w:rsidRPr="00D525A4" w:rsidRDefault="009D2EB0" w:rsidP="009D2EB0">
      <w:pPr>
        <w:pStyle w:val="paragraphsub"/>
      </w:pPr>
      <w:r w:rsidRPr="00D525A4">
        <w:tab/>
        <w:t>(ii)</w:t>
      </w:r>
      <w:r w:rsidRPr="00D525A4">
        <w:tab/>
        <w:t xml:space="preserve">was resolved adversely to the </w:t>
      </w:r>
      <w:r w:rsidR="00691860" w:rsidRPr="00D525A4">
        <w:t>person</w:t>
      </w:r>
      <w:r w:rsidRPr="00D525A4">
        <w:t xml:space="preserve"> or key personnel, including by the </w:t>
      </w:r>
      <w:r w:rsidR="00691860" w:rsidRPr="00D525A4">
        <w:t>person</w:t>
      </w:r>
      <w:r w:rsidRPr="00D525A4">
        <w:t xml:space="preserve"> or key personnel consenting to an order or direction, or giving an undertaking, not to engage in unlawful or improper conduct; or</w:t>
      </w:r>
    </w:p>
    <w:p w14:paraId="52CD42E0" w14:textId="23EF2A8B" w:rsidR="009D2EB0" w:rsidRPr="00D525A4" w:rsidRDefault="009D2EB0" w:rsidP="009D2EB0">
      <w:pPr>
        <w:pStyle w:val="paragraph"/>
      </w:pPr>
      <w:r w:rsidRPr="00D525A4">
        <w:tab/>
        <w:t>(d)</w:t>
      </w:r>
      <w:r w:rsidRPr="00D525A4">
        <w:tab/>
        <w:t>the continued registration of the person involves, or may involve, a significant money laundering, financing of terrorism or other serious crime risk; or</w:t>
      </w:r>
    </w:p>
    <w:p w14:paraId="2B4C0E6B" w14:textId="77777777" w:rsidR="009D2EB0" w:rsidRPr="00D525A4" w:rsidRDefault="009D2EB0" w:rsidP="009D2EB0">
      <w:pPr>
        <w:pStyle w:val="paragraph"/>
      </w:pPr>
      <w:r w:rsidRPr="00D525A4">
        <w:tab/>
        <w:t>(e)</w:t>
      </w:r>
      <w:r w:rsidRPr="00D525A4">
        <w:tab/>
        <w:t>the person has breached a condition of the person’s registration; or</w:t>
      </w:r>
    </w:p>
    <w:p w14:paraId="1FD1F2A5" w14:textId="77777777" w:rsidR="009D2EB0" w:rsidRPr="00D525A4" w:rsidRDefault="009D2EB0" w:rsidP="009D2EB0">
      <w:pPr>
        <w:pStyle w:val="paragraph"/>
      </w:pPr>
      <w:r w:rsidRPr="00D525A4">
        <w:tab/>
        <w:t>(f)</w:t>
      </w:r>
      <w:r w:rsidRPr="00D525A4">
        <w:tab/>
        <w:t>the person does not have the operational capability necessary to comply with the obligations imposed by the Act, the regulations and the AML/CTF Rules on the person; or</w:t>
      </w:r>
    </w:p>
    <w:p w14:paraId="54565A43" w14:textId="10E46078" w:rsidR="009D2EB0" w:rsidRPr="00D525A4" w:rsidRDefault="009D2EB0" w:rsidP="009D2EB0">
      <w:pPr>
        <w:pStyle w:val="paragraph"/>
      </w:pPr>
      <w:r w:rsidRPr="00D525A4">
        <w:tab/>
        <w:t>(g)</w:t>
      </w:r>
      <w:r w:rsidRPr="00D525A4">
        <w:tab/>
        <w:t>the person or the person’s key personnel no longer have sufficient experience in functions relevant to the person’s obligations under the Act, or functions relevant to providing registrable services;</w:t>
      </w:r>
      <w:r w:rsidR="00BB0084" w:rsidRPr="00D525A4">
        <w:t xml:space="preserve"> or</w:t>
      </w:r>
    </w:p>
    <w:p w14:paraId="0FD1B0A2" w14:textId="2B0FC331" w:rsidR="009D2EB0" w:rsidRPr="00D525A4" w:rsidRDefault="009D2EB0" w:rsidP="009D2EB0">
      <w:pPr>
        <w:pStyle w:val="paragraph"/>
      </w:pPr>
      <w:r w:rsidRPr="00D525A4">
        <w:tab/>
        <w:t>(h)</w:t>
      </w:r>
      <w:r w:rsidRPr="00D525A4">
        <w:tab/>
        <w:t xml:space="preserve">any information given by the person, or if the registration is as a remittance affiliate of a registered network provider, the provider, for the purposes of </w:t>
      </w:r>
      <w:r w:rsidR="0013261E" w:rsidRPr="00D525A4">
        <w:t>Part 6</w:t>
      </w:r>
      <w:r w:rsidRPr="00D525A4">
        <w:t xml:space="preserve"> or 6A of the Act in connection with that registration:</w:t>
      </w:r>
    </w:p>
    <w:p w14:paraId="7A71E6BA" w14:textId="77777777" w:rsidR="009D2EB0" w:rsidRPr="00D525A4" w:rsidRDefault="009D2EB0" w:rsidP="009D2EB0">
      <w:pPr>
        <w:pStyle w:val="paragraphsub"/>
      </w:pPr>
      <w:r w:rsidRPr="00D525A4">
        <w:tab/>
        <w:t>(i)</w:t>
      </w:r>
      <w:r w:rsidRPr="00D525A4">
        <w:tab/>
        <w:t>is false or misleading in a material particular; or</w:t>
      </w:r>
    </w:p>
    <w:p w14:paraId="7EAD7064" w14:textId="77777777" w:rsidR="009D2EB0" w:rsidRPr="00D525A4" w:rsidRDefault="009D2EB0" w:rsidP="009D2EB0">
      <w:pPr>
        <w:pStyle w:val="paragraphsub"/>
      </w:pPr>
      <w:r w:rsidRPr="00D525A4">
        <w:tab/>
        <w:t>(ii)</w:t>
      </w:r>
      <w:r w:rsidRPr="00D525A4">
        <w:tab/>
        <w:t>omits any matter or thing without which the information is misleading in a material particular.</w:t>
      </w:r>
    </w:p>
    <w:p w14:paraId="5EBDB239" w14:textId="6D191245" w:rsidR="009D2EB0" w:rsidRPr="00D525A4" w:rsidRDefault="00EC097E" w:rsidP="009D2EB0">
      <w:pPr>
        <w:pStyle w:val="ActHead5"/>
      </w:pPr>
      <w:bookmarkStart w:id="52" w:name="_Toc198224941"/>
      <w:r w:rsidRPr="00D525A4">
        <w:rPr>
          <w:rStyle w:val="CharSectno"/>
        </w:rPr>
        <w:lastRenderedPageBreak/>
        <w:t>3</w:t>
      </w:r>
      <w:r w:rsidR="00D525A4">
        <w:rPr>
          <w:rStyle w:val="CharSectno"/>
        </w:rPr>
        <w:noBreakHyphen/>
      </w:r>
      <w:r w:rsidRPr="00D525A4">
        <w:rPr>
          <w:rStyle w:val="CharSectno"/>
        </w:rPr>
        <w:t>18</w:t>
      </w:r>
      <w:r w:rsidR="009D2EB0" w:rsidRPr="00D525A4">
        <w:t xml:space="preserve">  Effect of suspension—renewal and advising of certain matters</w:t>
      </w:r>
      <w:bookmarkEnd w:id="52"/>
    </w:p>
    <w:p w14:paraId="2E6B2553" w14:textId="5B0AC772" w:rsidR="009D2EB0" w:rsidRPr="00D525A4" w:rsidRDefault="009D2EB0" w:rsidP="009D2EB0">
      <w:pPr>
        <w:pStyle w:val="subsection"/>
      </w:pPr>
      <w:r w:rsidRPr="00D525A4">
        <w:tab/>
      </w:r>
      <w:r w:rsidRPr="00D525A4">
        <w:tab/>
        <w:t xml:space="preserve">While a person’s registration under </w:t>
      </w:r>
      <w:r w:rsidR="0013261E" w:rsidRPr="00D525A4">
        <w:t>Part 6</w:t>
      </w:r>
      <w:r w:rsidRPr="00D525A4">
        <w:t xml:space="preserve"> or 6A of the Act is suspended, the person is taken to be registered for the purposes of the following despite that suspension:</w:t>
      </w:r>
    </w:p>
    <w:p w14:paraId="5F83BB37" w14:textId="0FD222AD" w:rsidR="009D2EB0" w:rsidRPr="00D525A4" w:rsidRDefault="009D2EB0" w:rsidP="009D2EB0">
      <w:pPr>
        <w:pStyle w:val="paragraph"/>
      </w:pPr>
      <w:r w:rsidRPr="00D525A4">
        <w:tab/>
        <w:t>(a)</w:t>
      </w:r>
      <w:r w:rsidRPr="00D525A4">
        <w:tab/>
      </w:r>
      <w:r w:rsidR="0013261E" w:rsidRPr="00D525A4">
        <w:t>Division </w:t>
      </w:r>
      <w:r w:rsidR="000B50E5" w:rsidRPr="00D525A4">
        <w:t>6</w:t>
      </w:r>
      <w:r w:rsidRPr="00D525A4">
        <w:t xml:space="preserve"> of this Part (which deals with renewal of registration);</w:t>
      </w:r>
    </w:p>
    <w:p w14:paraId="5BB2138E" w14:textId="02BEB08F" w:rsidR="009D2EB0" w:rsidRPr="00D525A4" w:rsidRDefault="009D2EB0" w:rsidP="009D2EB0">
      <w:pPr>
        <w:pStyle w:val="paragraph"/>
      </w:pPr>
      <w:r w:rsidRPr="00D525A4">
        <w:tab/>
        <w:t>(b)</w:t>
      </w:r>
      <w:r w:rsidRPr="00D525A4">
        <w:tab/>
      </w:r>
      <w:r w:rsidR="0013261E" w:rsidRPr="00D525A4">
        <w:t>sections 7</w:t>
      </w:r>
      <w:r w:rsidRPr="00D525A4">
        <w:t>5M and 76P of the Act (which deal with advising of material changes in circumstance etc.), as applicable.</w:t>
      </w:r>
    </w:p>
    <w:p w14:paraId="59A521F9" w14:textId="61589664" w:rsidR="009D2EB0" w:rsidRPr="00D525A4" w:rsidRDefault="00EC097E" w:rsidP="009D2EB0">
      <w:pPr>
        <w:pStyle w:val="ActHead5"/>
      </w:pPr>
      <w:bookmarkStart w:id="53" w:name="_Toc198224942"/>
      <w:r w:rsidRPr="00D525A4">
        <w:rPr>
          <w:rStyle w:val="CharSectno"/>
        </w:rPr>
        <w:t>3</w:t>
      </w:r>
      <w:r w:rsidR="00D525A4">
        <w:rPr>
          <w:rStyle w:val="CharSectno"/>
        </w:rPr>
        <w:noBreakHyphen/>
      </w:r>
      <w:r w:rsidRPr="00D525A4">
        <w:rPr>
          <w:rStyle w:val="CharSectno"/>
        </w:rPr>
        <w:t>19</w:t>
      </w:r>
      <w:r w:rsidR="009D2EB0" w:rsidRPr="00D525A4">
        <w:t xml:space="preserve">  Period of suspension</w:t>
      </w:r>
      <w:bookmarkEnd w:id="53"/>
    </w:p>
    <w:p w14:paraId="2F15432C" w14:textId="51B48B8F" w:rsidR="009D2EB0" w:rsidRPr="00D525A4" w:rsidRDefault="009D2EB0" w:rsidP="009D2EB0">
      <w:pPr>
        <w:pStyle w:val="subsection"/>
      </w:pPr>
      <w:r w:rsidRPr="00D525A4">
        <w:tab/>
        <w:t>(1)</w:t>
      </w:r>
      <w:r w:rsidRPr="00D525A4">
        <w:tab/>
        <w:t xml:space="preserve">A suspension of a registration under </w:t>
      </w:r>
      <w:r w:rsidR="0013261E" w:rsidRPr="00D525A4">
        <w:t>Part 6</w:t>
      </w:r>
      <w:r w:rsidRPr="00D525A4">
        <w:t xml:space="preserve"> or 6A of the Act by the AUSTRAC CEO has effect for a period of up to 3 months determined by the AUSTRAC CEO.</w:t>
      </w:r>
    </w:p>
    <w:p w14:paraId="5DBEB02C" w14:textId="17077CE5" w:rsidR="009D2EB0" w:rsidRPr="00D525A4" w:rsidRDefault="009D2EB0" w:rsidP="009D2EB0">
      <w:pPr>
        <w:pStyle w:val="subsection"/>
      </w:pPr>
      <w:r w:rsidRPr="00D525A4">
        <w:tab/>
        <w:t>(2)</w:t>
      </w:r>
      <w:r w:rsidRPr="00D525A4">
        <w:tab/>
        <w:t xml:space="preserve">The AUSTRAC CEO may extend the period of the suspension by a further period of up to 3 months if the AUSTRAC CEO is satisfied it is appropriate to do so, having regard to whether the AUSTRAC CEO continues to reasonably suspect a matter mentioned in section </w:t>
      </w:r>
      <w:r w:rsidR="00EC097E" w:rsidRPr="00D525A4">
        <w:t>3</w:t>
      </w:r>
      <w:r w:rsidR="00D525A4">
        <w:noBreakHyphen/>
      </w:r>
      <w:r w:rsidR="00EC097E" w:rsidRPr="00D525A4">
        <w:t>17</w:t>
      </w:r>
      <w:r w:rsidRPr="00D525A4">
        <w:t>.</w:t>
      </w:r>
    </w:p>
    <w:p w14:paraId="777962DF" w14:textId="15EC7557" w:rsidR="009D2EB0" w:rsidRPr="00D525A4" w:rsidRDefault="009D2EB0" w:rsidP="009D2EB0">
      <w:pPr>
        <w:pStyle w:val="subsection"/>
      </w:pPr>
      <w:r w:rsidRPr="00D525A4">
        <w:tab/>
        <w:t>(3)</w:t>
      </w:r>
      <w:r w:rsidRPr="00D525A4">
        <w:tab/>
        <w:t xml:space="preserve">The AUSTRAC CEO must not extend the period of a suspension under </w:t>
      </w:r>
      <w:r w:rsidR="009F59ED" w:rsidRPr="00D525A4">
        <w:t>subsection (</w:t>
      </w:r>
      <w:r w:rsidRPr="00D525A4">
        <w:t>2) more than once.</w:t>
      </w:r>
    </w:p>
    <w:p w14:paraId="06D2EB84" w14:textId="154F164A" w:rsidR="009D2EB0" w:rsidRPr="00D525A4" w:rsidRDefault="00EC097E" w:rsidP="009D2EB0">
      <w:pPr>
        <w:pStyle w:val="ActHead5"/>
      </w:pPr>
      <w:bookmarkStart w:id="54" w:name="_Toc198224943"/>
      <w:r w:rsidRPr="00D525A4">
        <w:rPr>
          <w:rStyle w:val="CharSectno"/>
        </w:rPr>
        <w:t>3</w:t>
      </w:r>
      <w:r w:rsidR="00D525A4">
        <w:rPr>
          <w:rStyle w:val="CharSectno"/>
        </w:rPr>
        <w:noBreakHyphen/>
      </w:r>
      <w:r w:rsidRPr="00D525A4">
        <w:rPr>
          <w:rStyle w:val="CharSectno"/>
        </w:rPr>
        <w:t>20</w:t>
      </w:r>
      <w:r w:rsidR="009D2EB0" w:rsidRPr="00D525A4">
        <w:t xml:space="preserve">  Notice of suspension decision</w:t>
      </w:r>
      <w:bookmarkEnd w:id="54"/>
    </w:p>
    <w:p w14:paraId="64A1ED02" w14:textId="3332C8EF" w:rsidR="009D2EB0" w:rsidRPr="00D525A4" w:rsidRDefault="009D2EB0" w:rsidP="009D2EB0">
      <w:pPr>
        <w:pStyle w:val="subsection"/>
      </w:pPr>
      <w:r w:rsidRPr="00D525A4">
        <w:tab/>
        <w:t>(1)</w:t>
      </w:r>
      <w:r w:rsidRPr="00D525A4">
        <w:tab/>
        <w:t xml:space="preserve">If the AUSTRAC CEO decides to suspend a person’s registration under </w:t>
      </w:r>
      <w:r w:rsidR="0013261E" w:rsidRPr="00D525A4">
        <w:t>Part 6</w:t>
      </w:r>
      <w:r w:rsidRPr="00D525A4">
        <w:t xml:space="preserve"> or 6A of the Act, the AUSTRAC CEO must, as soon as practicable after the decision is made, give a written notice of the suspension to:</w:t>
      </w:r>
    </w:p>
    <w:p w14:paraId="330E5F90" w14:textId="77777777" w:rsidR="009D2EB0" w:rsidRPr="00D525A4" w:rsidRDefault="009D2EB0" w:rsidP="009D2EB0">
      <w:pPr>
        <w:pStyle w:val="paragraph"/>
      </w:pPr>
      <w:r w:rsidRPr="00D525A4">
        <w:tab/>
        <w:t>(a)</w:t>
      </w:r>
      <w:r w:rsidRPr="00D525A4">
        <w:tab/>
        <w:t>the person; and</w:t>
      </w:r>
    </w:p>
    <w:p w14:paraId="4974D820" w14:textId="77777777" w:rsidR="009D2EB0" w:rsidRPr="00D525A4" w:rsidRDefault="009D2EB0" w:rsidP="009D2EB0">
      <w:pPr>
        <w:pStyle w:val="paragraph"/>
      </w:pPr>
      <w:r w:rsidRPr="00D525A4">
        <w:tab/>
        <w:t>(b)</w:t>
      </w:r>
      <w:r w:rsidRPr="00D525A4">
        <w:tab/>
        <w:t>if the suspension is of the registration of a registered remittance network provider—each remittance affiliate of that provider; and</w:t>
      </w:r>
    </w:p>
    <w:p w14:paraId="22942209" w14:textId="77777777" w:rsidR="009D2EB0" w:rsidRPr="00D525A4" w:rsidRDefault="009D2EB0" w:rsidP="009D2EB0">
      <w:pPr>
        <w:pStyle w:val="paragraph"/>
      </w:pPr>
      <w:r w:rsidRPr="00D525A4">
        <w:tab/>
        <w:t>(c)</w:t>
      </w:r>
      <w:r w:rsidRPr="00D525A4">
        <w:tab/>
        <w:t>if the suspension is of the registration of a remittance affiliate of a registered remittance network provider—the provider.</w:t>
      </w:r>
    </w:p>
    <w:p w14:paraId="6B70C5A3" w14:textId="77777777" w:rsidR="009D2EB0" w:rsidRPr="00D525A4" w:rsidRDefault="009D2EB0" w:rsidP="009D2EB0">
      <w:pPr>
        <w:pStyle w:val="subsection"/>
      </w:pPr>
      <w:r w:rsidRPr="00D525A4">
        <w:tab/>
        <w:t>(2)</w:t>
      </w:r>
      <w:r w:rsidRPr="00D525A4">
        <w:tab/>
        <w:t>The notice must contain:</w:t>
      </w:r>
    </w:p>
    <w:p w14:paraId="605AE34B" w14:textId="77777777" w:rsidR="009D2EB0" w:rsidRPr="00D525A4" w:rsidRDefault="009D2EB0" w:rsidP="009D2EB0">
      <w:pPr>
        <w:pStyle w:val="paragraph"/>
      </w:pPr>
      <w:r w:rsidRPr="00D525A4">
        <w:tab/>
        <w:t>(a)</w:t>
      </w:r>
      <w:r w:rsidRPr="00D525A4">
        <w:tab/>
        <w:t>information setting out the effect of the suspension; and</w:t>
      </w:r>
    </w:p>
    <w:p w14:paraId="19CE8F70" w14:textId="77777777" w:rsidR="009D2EB0" w:rsidRPr="00D525A4" w:rsidRDefault="009D2EB0" w:rsidP="009D2EB0">
      <w:pPr>
        <w:pStyle w:val="paragraph"/>
      </w:pPr>
      <w:r w:rsidRPr="00D525A4">
        <w:tab/>
        <w:t>(b)</w:t>
      </w:r>
      <w:r w:rsidRPr="00D525A4">
        <w:tab/>
        <w:t>the date the suspension takes effect; and</w:t>
      </w:r>
    </w:p>
    <w:p w14:paraId="24617157" w14:textId="77777777" w:rsidR="009D2EB0" w:rsidRPr="00D525A4" w:rsidRDefault="009D2EB0" w:rsidP="009D2EB0">
      <w:pPr>
        <w:pStyle w:val="paragraph"/>
      </w:pPr>
      <w:r w:rsidRPr="00D525A4">
        <w:tab/>
        <w:t>(c)</w:t>
      </w:r>
      <w:r w:rsidRPr="00D525A4">
        <w:tab/>
        <w:t>the date the suspension ceases; and</w:t>
      </w:r>
    </w:p>
    <w:p w14:paraId="4945CC2E" w14:textId="77777777" w:rsidR="009D2EB0" w:rsidRPr="00D525A4" w:rsidRDefault="009D2EB0" w:rsidP="009D2EB0">
      <w:pPr>
        <w:pStyle w:val="paragraph"/>
      </w:pPr>
      <w:r w:rsidRPr="00D525A4">
        <w:tab/>
        <w:t>(d)</w:t>
      </w:r>
      <w:r w:rsidRPr="00D525A4">
        <w:tab/>
        <w:t>information on the power of the AUSTRAC CEO to extend the period of the suspension.</w:t>
      </w:r>
    </w:p>
    <w:p w14:paraId="15B6D5AF" w14:textId="7A01E487" w:rsidR="009D2EB0" w:rsidRPr="00D525A4" w:rsidRDefault="00EC097E" w:rsidP="009D2EB0">
      <w:pPr>
        <w:pStyle w:val="ActHead5"/>
      </w:pPr>
      <w:bookmarkStart w:id="55" w:name="_Toc198224944"/>
      <w:r w:rsidRPr="00D525A4">
        <w:rPr>
          <w:rStyle w:val="CharSectno"/>
        </w:rPr>
        <w:t>3</w:t>
      </w:r>
      <w:r w:rsidR="00D525A4">
        <w:rPr>
          <w:rStyle w:val="CharSectno"/>
        </w:rPr>
        <w:noBreakHyphen/>
      </w:r>
      <w:r w:rsidRPr="00D525A4">
        <w:rPr>
          <w:rStyle w:val="CharSectno"/>
        </w:rPr>
        <w:t>21</w:t>
      </w:r>
      <w:r w:rsidR="009D2EB0" w:rsidRPr="00D525A4">
        <w:t xml:space="preserve">  Notice of extension of suspension</w:t>
      </w:r>
      <w:bookmarkEnd w:id="55"/>
    </w:p>
    <w:p w14:paraId="22304D4E" w14:textId="2178E8A5" w:rsidR="009D2EB0" w:rsidRPr="00D525A4" w:rsidRDefault="009D2EB0" w:rsidP="009D2EB0">
      <w:pPr>
        <w:pStyle w:val="subsection"/>
      </w:pPr>
      <w:r w:rsidRPr="00D525A4">
        <w:tab/>
        <w:t>(1)</w:t>
      </w:r>
      <w:r w:rsidRPr="00D525A4">
        <w:tab/>
        <w:t xml:space="preserve">If the AUSTRAC CEO extends the period of the suspension of a person’s registration under subsection </w:t>
      </w:r>
      <w:r w:rsidR="00EC097E" w:rsidRPr="00D525A4">
        <w:t>3</w:t>
      </w:r>
      <w:r w:rsidR="00D525A4">
        <w:noBreakHyphen/>
      </w:r>
      <w:r w:rsidR="00EC097E" w:rsidRPr="00D525A4">
        <w:t>19</w:t>
      </w:r>
      <w:r w:rsidRPr="00D525A4">
        <w:t>(2), the AUSTRAC CEO must, as soon as practicable after the suspension is extended, give a written notice of the extension to:</w:t>
      </w:r>
    </w:p>
    <w:p w14:paraId="32125BB0" w14:textId="77777777" w:rsidR="009D2EB0" w:rsidRPr="00D525A4" w:rsidRDefault="009D2EB0" w:rsidP="009D2EB0">
      <w:pPr>
        <w:pStyle w:val="paragraph"/>
      </w:pPr>
      <w:r w:rsidRPr="00D525A4">
        <w:tab/>
        <w:t>(a)</w:t>
      </w:r>
      <w:r w:rsidRPr="00D525A4">
        <w:tab/>
        <w:t>the person; and</w:t>
      </w:r>
    </w:p>
    <w:p w14:paraId="05544B2E" w14:textId="77777777" w:rsidR="009D2EB0" w:rsidRPr="00D525A4" w:rsidRDefault="009D2EB0" w:rsidP="009D2EB0">
      <w:pPr>
        <w:pStyle w:val="paragraph"/>
      </w:pPr>
      <w:r w:rsidRPr="00D525A4">
        <w:tab/>
        <w:t>(b)</w:t>
      </w:r>
      <w:r w:rsidRPr="00D525A4">
        <w:tab/>
        <w:t>if the suspension is of the registration of a registered remittance network provider—each remittance affiliate of that provider; and</w:t>
      </w:r>
    </w:p>
    <w:p w14:paraId="0DD4C7D4" w14:textId="77777777" w:rsidR="009D2EB0" w:rsidRPr="00D525A4" w:rsidRDefault="009D2EB0" w:rsidP="009D2EB0">
      <w:pPr>
        <w:pStyle w:val="paragraph"/>
      </w:pPr>
      <w:r w:rsidRPr="00D525A4">
        <w:lastRenderedPageBreak/>
        <w:tab/>
        <w:t>(c)</w:t>
      </w:r>
      <w:r w:rsidRPr="00D525A4">
        <w:tab/>
        <w:t>if the suspension is of the registration of a remittance affiliate of a registered remittance network provider—the provider.</w:t>
      </w:r>
    </w:p>
    <w:p w14:paraId="033D25FB" w14:textId="77777777" w:rsidR="009D2EB0" w:rsidRPr="00D525A4" w:rsidRDefault="009D2EB0" w:rsidP="009D2EB0">
      <w:pPr>
        <w:pStyle w:val="subsection"/>
      </w:pPr>
      <w:r w:rsidRPr="00D525A4">
        <w:tab/>
        <w:t>(2)</w:t>
      </w:r>
      <w:r w:rsidRPr="00D525A4">
        <w:tab/>
        <w:t>The notice must contain:</w:t>
      </w:r>
    </w:p>
    <w:p w14:paraId="5BE6B5F8" w14:textId="77777777" w:rsidR="009D2EB0" w:rsidRPr="00D525A4" w:rsidRDefault="009D2EB0" w:rsidP="009D2EB0">
      <w:pPr>
        <w:pStyle w:val="paragraph"/>
      </w:pPr>
      <w:r w:rsidRPr="00D525A4">
        <w:tab/>
        <w:t>(a)</w:t>
      </w:r>
      <w:r w:rsidRPr="00D525A4">
        <w:tab/>
        <w:t>information setting out the effect of the extension; and</w:t>
      </w:r>
    </w:p>
    <w:p w14:paraId="428930D7" w14:textId="48F4251B" w:rsidR="00BB0084" w:rsidRPr="00D525A4" w:rsidRDefault="009D2EB0" w:rsidP="00B22FB8">
      <w:pPr>
        <w:pStyle w:val="paragraph"/>
      </w:pPr>
      <w:r w:rsidRPr="00D525A4">
        <w:tab/>
        <w:t>(b)</w:t>
      </w:r>
      <w:r w:rsidRPr="00D525A4">
        <w:tab/>
        <w:t>the date the suspension, as extended, ceases</w:t>
      </w:r>
      <w:r w:rsidR="00BB0084" w:rsidRPr="00D525A4">
        <w:t>.</w:t>
      </w:r>
    </w:p>
    <w:p w14:paraId="7437A490" w14:textId="3681CBE6" w:rsidR="009D2EB0" w:rsidRPr="00D525A4" w:rsidRDefault="00EC097E" w:rsidP="009D2EB0">
      <w:pPr>
        <w:pStyle w:val="ActHead5"/>
      </w:pPr>
      <w:bookmarkStart w:id="56" w:name="_Toc198224945"/>
      <w:r w:rsidRPr="00D525A4">
        <w:rPr>
          <w:rStyle w:val="CharSectno"/>
        </w:rPr>
        <w:t>3</w:t>
      </w:r>
      <w:r w:rsidR="00D525A4">
        <w:rPr>
          <w:rStyle w:val="CharSectno"/>
        </w:rPr>
        <w:noBreakHyphen/>
      </w:r>
      <w:r w:rsidRPr="00D525A4">
        <w:rPr>
          <w:rStyle w:val="CharSectno"/>
        </w:rPr>
        <w:t>22</w:t>
      </w:r>
      <w:r w:rsidR="009D2EB0" w:rsidRPr="00D525A4">
        <w:t xml:space="preserve">  Register entry in relation to suspension of registration</w:t>
      </w:r>
      <w:bookmarkEnd w:id="56"/>
    </w:p>
    <w:p w14:paraId="15B1279E" w14:textId="1ECD8777" w:rsidR="009D2EB0" w:rsidRPr="00D525A4" w:rsidRDefault="009D2EB0" w:rsidP="009D2EB0">
      <w:pPr>
        <w:pStyle w:val="subsection"/>
      </w:pPr>
      <w:r w:rsidRPr="00D525A4">
        <w:tab/>
        <w:t>(1)</w:t>
      </w:r>
      <w:r w:rsidRPr="00D525A4">
        <w:tab/>
        <w:t xml:space="preserve">If the AUSTRAC CEO suspends the registration of a person under </w:t>
      </w:r>
      <w:r w:rsidR="0013261E" w:rsidRPr="00D525A4">
        <w:t>Part 6</w:t>
      </w:r>
      <w:r w:rsidRPr="00D525A4">
        <w:t xml:space="preserve"> or 6A of the Act, the AUSTRAC CEO must enter on the Remittance Sector Register or the Virtual Asset Service Provider Register, respectively, information identifying that the person’s registration is suspended.</w:t>
      </w:r>
    </w:p>
    <w:p w14:paraId="4849A340" w14:textId="77777777" w:rsidR="009D2EB0" w:rsidRPr="00D525A4" w:rsidRDefault="009D2EB0" w:rsidP="009D2EB0">
      <w:pPr>
        <w:pStyle w:val="subsection"/>
      </w:pPr>
      <w:r w:rsidRPr="00D525A4">
        <w:tab/>
        <w:t>(2)</w:t>
      </w:r>
      <w:r w:rsidRPr="00D525A4">
        <w:tab/>
        <w:t>The AUSTRAC CEO must remove that information from the Remittance Sector Register or the Virtual Asset Service Provider Register as soon as practicable after the period of the suspension ends.</w:t>
      </w:r>
    </w:p>
    <w:p w14:paraId="4C08B9B2" w14:textId="64390131" w:rsidR="009D2EB0" w:rsidRPr="00D525A4" w:rsidRDefault="0013261E" w:rsidP="009D2EB0">
      <w:pPr>
        <w:pStyle w:val="ActHead3"/>
        <w:pageBreakBefore/>
      </w:pPr>
      <w:bookmarkStart w:id="57" w:name="_Toc198224946"/>
      <w:r w:rsidRPr="00D525A4">
        <w:rPr>
          <w:rStyle w:val="CharDivNo"/>
        </w:rPr>
        <w:lastRenderedPageBreak/>
        <w:t>Division </w:t>
      </w:r>
      <w:r w:rsidR="000B50E5" w:rsidRPr="00D525A4">
        <w:rPr>
          <w:rStyle w:val="CharDivNo"/>
        </w:rPr>
        <w:t>5</w:t>
      </w:r>
      <w:r w:rsidR="009D2EB0" w:rsidRPr="00D525A4">
        <w:t>—</w:t>
      </w:r>
      <w:r w:rsidR="009D2EB0" w:rsidRPr="00D525A4">
        <w:rPr>
          <w:rStyle w:val="CharDivText"/>
        </w:rPr>
        <w:t>Cancellation of registration</w:t>
      </w:r>
      <w:bookmarkEnd w:id="57"/>
    </w:p>
    <w:p w14:paraId="05C8CDA4" w14:textId="77777777" w:rsidR="009D2EB0" w:rsidRPr="00D525A4" w:rsidRDefault="009D2EB0" w:rsidP="009D2EB0">
      <w:pPr>
        <w:pStyle w:val="Header"/>
      </w:pPr>
      <w:r w:rsidRPr="00D525A4">
        <w:t xml:space="preserve">  </w:t>
      </w:r>
    </w:p>
    <w:p w14:paraId="0385B63E" w14:textId="22CCDE2F" w:rsidR="009D2EB0" w:rsidRPr="00D525A4" w:rsidRDefault="00EC097E" w:rsidP="009D2EB0">
      <w:pPr>
        <w:pStyle w:val="ActHead5"/>
      </w:pPr>
      <w:bookmarkStart w:id="58" w:name="_Toc198224947"/>
      <w:r w:rsidRPr="00D525A4">
        <w:rPr>
          <w:rStyle w:val="CharSectno"/>
        </w:rPr>
        <w:t>3</w:t>
      </w:r>
      <w:r w:rsidR="00D525A4">
        <w:rPr>
          <w:rStyle w:val="CharSectno"/>
        </w:rPr>
        <w:noBreakHyphen/>
      </w:r>
      <w:r w:rsidRPr="00D525A4">
        <w:rPr>
          <w:rStyle w:val="CharSectno"/>
        </w:rPr>
        <w:t>23</w:t>
      </w:r>
      <w:r w:rsidR="009D2EB0" w:rsidRPr="00D525A4">
        <w:t xml:space="preserve">  Cancellation of registration</w:t>
      </w:r>
      <w:bookmarkEnd w:id="58"/>
    </w:p>
    <w:p w14:paraId="3BAD1BB3" w14:textId="77777777" w:rsidR="009D2EB0" w:rsidRPr="00D525A4" w:rsidRDefault="009D2EB0" w:rsidP="009D2EB0">
      <w:pPr>
        <w:pStyle w:val="subsection"/>
      </w:pPr>
      <w:r w:rsidRPr="00D525A4">
        <w:tab/>
      </w:r>
      <w:r w:rsidRPr="00D525A4">
        <w:tab/>
        <w:t>For the purposes of paragraphs 75G(1)(c) and 76J(1)(c) of the Act, the other matters to which the AUSTRAC CEO is to have regard in relation to the cancellation of the registration of a person are as follows:</w:t>
      </w:r>
    </w:p>
    <w:p w14:paraId="7B0C7E30" w14:textId="77777777" w:rsidR="009D2EB0" w:rsidRPr="00D525A4" w:rsidRDefault="009D2EB0" w:rsidP="009D2EB0">
      <w:pPr>
        <w:pStyle w:val="paragraph"/>
      </w:pPr>
      <w:r w:rsidRPr="00D525A4">
        <w:tab/>
        <w:t>(a)</w:t>
      </w:r>
      <w:r w:rsidRPr="00D525A4">
        <w:tab/>
        <w:t>whether the person or any of its key personnel has been charged or convicted of an offence against the Act, or of an offence against a law of the Commonwealth, a State or Territory or a foreign country of any of the following kinds:</w:t>
      </w:r>
    </w:p>
    <w:p w14:paraId="2951E150" w14:textId="77777777" w:rsidR="009D2EB0" w:rsidRPr="00D525A4" w:rsidRDefault="009D2EB0" w:rsidP="009D2EB0">
      <w:pPr>
        <w:pStyle w:val="paragraphsub"/>
      </w:pPr>
      <w:r w:rsidRPr="00D525A4">
        <w:tab/>
        <w:t>(i)</w:t>
      </w:r>
      <w:r w:rsidRPr="00D525A4">
        <w:tab/>
        <w:t>money laundering;</w:t>
      </w:r>
    </w:p>
    <w:p w14:paraId="453D86DD" w14:textId="77777777" w:rsidR="009D2EB0" w:rsidRPr="00D525A4" w:rsidRDefault="009D2EB0" w:rsidP="009D2EB0">
      <w:pPr>
        <w:pStyle w:val="paragraphsub"/>
      </w:pPr>
      <w:r w:rsidRPr="00D525A4">
        <w:tab/>
        <w:t>(ii)</w:t>
      </w:r>
      <w:r w:rsidRPr="00D525A4">
        <w:tab/>
        <w:t>terrorism or financing of terrorism;</w:t>
      </w:r>
    </w:p>
    <w:p w14:paraId="646BAD17" w14:textId="77777777" w:rsidR="009D2EB0" w:rsidRPr="00D525A4" w:rsidRDefault="009D2EB0" w:rsidP="009D2EB0">
      <w:pPr>
        <w:pStyle w:val="paragraphsub"/>
      </w:pPr>
      <w:r w:rsidRPr="00D525A4">
        <w:tab/>
        <w:t>(iii)</w:t>
      </w:r>
      <w:r w:rsidRPr="00D525A4">
        <w:tab/>
        <w:t>people smuggling;</w:t>
      </w:r>
    </w:p>
    <w:p w14:paraId="11DC3F46" w14:textId="77777777" w:rsidR="009D2EB0" w:rsidRPr="00D525A4" w:rsidRDefault="009D2EB0" w:rsidP="009D2EB0">
      <w:pPr>
        <w:pStyle w:val="paragraphsub"/>
      </w:pPr>
      <w:r w:rsidRPr="00D525A4">
        <w:tab/>
        <w:t>(iv)</w:t>
      </w:r>
      <w:r w:rsidRPr="00D525A4">
        <w:tab/>
        <w:t>fraud (including scams);</w:t>
      </w:r>
    </w:p>
    <w:p w14:paraId="497413D5" w14:textId="73970A09" w:rsidR="009D2EB0" w:rsidRPr="00D525A4" w:rsidRDefault="009D2EB0" w:rsidP="009D2EB0">
      <w:pPr>
        <w:pStyle w:val="paragraphsub"/>
      </w:pPr>
      <w:r w:rsidRPr="00D525A4">
        <w:tab/>
        <w:t>(v)</w:t>
      </w:r>
      <w:r w:rsidRPr="00D525A4">
        <w:tab/>
        <w:t>a serious offence of any other kind;</w:t>
      </w:r>
    </w:p>
    <w:p w14:paraId="05299D16" w14:textId="0ABA293E" w:rsidR="009D2EB0" w:rsidRPr="00D525A4" w:rsidRDefault="009D2EB0" w:rsidP="009D2EB0">
      <w:pPr>
        <w:pStyle w:val="paragraph"/>
      </w:pPr>
      <w:r w:rsidRPr="00D525A4">
        <w:tab/>
        <w:t>(b)</w:t>
      </w:r>
      <w:r w:rsidRPr="00D525A4">
        <w:tab/>
        <w:t>whether the person or any of its key personnel has been found by the Federal Court to have contravened the Act;</w:t>
      </w:r>
    </w:p>
    <w:p w14:paraId="287C0C24" w14:textId="77777777" w:rsidR="009D2EB0" w:rsidRPr="00D525A4" w:rsidRDefault="009D2EB0" w:rsidP="009D2EB0">
      <w:pPr>
        <w:pStyle w:val="paragraph"/>
      </w:pPr>
      <w:r w:rsidRPr="00D525A4">
        <w:tab/>
        <w:t>(c)</w:t>
      </w:r>
      <w:r w:rsidRPr="00D525A4">
        <w:tab/>
        <w:t>whether the person or any of its key personnel has been the subject of civil or criminal proceedings, or any enforcement action that:</w:t>
      </w:r>
    </w:p>
    <w:p w14:paraId="39EA8EEE" w14:textId="77777777" w:rsidR="009D2EB0" w:rsidRPr="00D525A4" w:rsidRDefault="009D2EB0" w:rsidP="009D2EB0">
      <w:pPr>
        <w:pStyle w:val="paragraphsub"/>
      </w:pPr>
      <w:r w:rsidRPr="00D525A4">
        <w:tab/>
        <w:t>(i)</w:t>
      </w:r>
      <w:r w:rsidRPr="00D525A4">
        <w:tab/>
        <w:t>related to the management of an entity or commercial or professional activity; and</w:t>
      </w:r>
    </w:p>
    <w:p w14:paraId="767A0FBB" w14:textId="2BB93D1E" w:rsidR="009D2EB0" w:rsidRPr="00D525A4" w:rsidRDefault="009D2EB0" w:rsidP="009D2EB0">
      <w:pPr>
        <w:pStyle w:val="paragraphsub"/>
      </w:pPr>
      <w:r w:rsidRPr="00D525A4">
        <w:tab/>
        <w:t>(ii)</w:t>
      </w:r>
      <w:r w:rsidRPr="00D525A4">
        <w:tab/>
        <w:t xml:space="preserve">was resolved adversely to the </w:t>
      </w:r>
      <w:r w:rsidR="00691860" w:rsidRPr="00D525A4">
        <w:t xml:space="preserve">person </w:t>
      </w:r>
      <w:r w:rsidRPr="00D525A4">
        <w:t>or key personnel, including by the pe</w:t>
      </w:r>
      <w:r w:rsidR="006B3711" w:rsidRPr="00D525A4">
        <w:t>rso</w:t>
      </w:r>
      <w:r w:rsidRPr="00D525A4">
        <w:t>n or key personnel consenting to an order or direction, or giving an undertaking, not to engage in unlawful or improper conduct;</w:t>
      </w:r>
    </w:p>
    <w:p w14:paraId="43BA7FE1" w14:textId="58584CEB" w:rsidR="009D2EB0" w:rsidRPr="00D525A4" w:rsidRDefault="009D2EB0" w:rsidP="009D2EB0">
      <w:pPr>
        <w:pStyle w:val="paragraph"/>
      </w:pPr>
      <w:r w:rsidRPr="00D525A4">
        <w:tab/>
        <w:t>(</w:t>
      </w:r>
      <w:r w:rsidR="00CF763D" w:rsidRPr="00D525A4">
        <w:t>d</w:t>
      </w:r>
      <w:r w:rsidRPr="00D525A4">
        <w:t>)</w:t>
      </w:r>
      <w:r w:rsidRPr="00D525A4">
        <w:tab/>
        <w:t>whether the person continues to have the operational capability necessary to comply with the obligations imposed on the person by the Act, the regulations and the AML/CTF Rules;</w:t>
      </w:r>
    </w:p>
    <w:p w14:paraId="64C8B9D2" w14:textId="4C81039C" w:rsidR="009D2EB0" w:rsidRPr="00D525A4" w:rsidRDefault="009D2EB0" w:rsidP="009D2EB0">
      <w:pPr>
        <w:pStyle w:val="paragraph"/>
      </w:pPr>
      <w:r w:rsidRPr="00D525A4">
        <w:tab/>
        <w:t>(</w:t>
      </w:r>
      <w:r w:rsidR="00CF763D" w:rsidRPr="00D525A4">
        <w:t>e</w:t>
      </w:r>
      <w:r w:rsidRPr="00D525A4">
        <w:t>)</w:t>
      </w:r>
      <w:r w:rsidRPr="00D525A4">
        <w:tab/>
        <w:t>whether the person and the person’s key personnel continue to have sufficient experience in functions relevant to the person’s obligations under the Act, or functions relevant to providing registrable services;</w:t>
      </w:r>
    </w:p>
    <w:p w14:paraId="038D9A63" w14:textId="67DB7885" w:rsidR="009D2EB0" w:rsidRPr="00D525A4" w:rsidRDefault="009D2EB0" w:rsidP="009D2EB0">
      <w:pPr>
        <w:pStyle w:val="paragraph"/>
      </w:pPr>
      <w:r w:rsidRPr="00D525A4">
        <w:tab/>
        <w:t>(</w:t>
      </w:r>
      <w:r w:rsidR="00CF763D" w:rsidRPr="00D525A4">
        <w:t>f</w:t>
      </w:r>
      <w:r w:rsidRPr="00D525A4">
        <w:t>)</w:t>
      </w:r>
      <w:r w:rsidRPr="00D525A4">
        <w:tab/>
        <w:t xml:space="preserve">whether any information given by the person, or if the registration is as a remittance affiliate of a registered network provider, the provider, for the purposes of </w:t>
      </w:r>
      <w:r w:rsidR="0013261E" w:rsidRPr="00D525A4">
        <w:t>Part 6</w:t>
      </w:r>
      <w:r w:rsidRPr="00D525A4">
        <w:t xml:space="preserve"> or 6A of the Act in connection with that registration:</w:t>
      </w:r>
    </w:p>
    <w:p w14:paraId="6A688D6C" w14:textId="4D56EE5D" w:rsidR="009D2EB0" w:rsidRPr="00D525A4" w:rsidRDefault="009D2EB0" w:rsidP="009D2EB0">
      <w:pPr>
        <w:pStyle w:val="paragraphsub"/>
      </w:pPr>
      <w:r w:rsidRPr="00D525A4">
        <w:tab/>
        <w:t>(i)</w:t>
      </w:r>
      <w:r w:rsidRPr="00D525A4">
        <w:tab/>
        <w:t xml:space="preserve">is false or misleading in a material particular; </w:t>
      </w:r>
      <w:r w:rsidR="00CF763D" w:rsidRPr="00D525A4">
        <w:t>or</w:t>
      </w:r>
    </w:p>
    <w:p w14:paraId="480650AF" w14:textId="77777777" w:rsidR="009D2EB0" w:rsidRPr="00D525A4" w:rsidRDefault="009D2EB0" w:rsidP="009D2EB0">
      <w:pPr>
        <w:pStyle w:val="paragraphsub"/>
      </w:pPr>
      <w:r w:rsidRPr="00D525A4">
        <w:tab/>
        <w:t>(ii)</w:t>
      </w:r>
      <w:r w:rsidRPr="00D525A4">
        <w:tab/>
        <w:t>omits any matter or thing without which the information is misleading in a material particular.</w:t>
      </w:r>
    </w:p>
    <w:p w14:paraId="35522B5B" w14:textId="140B6B30" w:rsidR="009D2EB0" w:rsidRPr="00D525A4" w:rsidRDefault="00EC097E" w:rsidP="009D2EB0">
      <w:pPr>
        <w:pStyle w:val="ActHead5"/>
      </w:pPr>
      <w:bookmarkStart w:id="59" w:name="_Toc198224948"/>
      <w:r w:rsidRPr="00D525A4">
        <w:rPr>
          <w:rStyle w:val="CharSectno"/>
        </w:rPr>
        <w:t>3</w:t>
      </w:r>
      <w:r w:rsidR="00D525A4">
        <w:rPr>
          <w:rStyle w:val="CharSectno"/>
        </w:rPr>
        <w:noBreakHyphen/>
      </w:r>
      <w:r w:rsidRPr="00D525A4">
        <w:rPr>
          <w:rStyle w:val="CharSectno"/>
        </w:rPr>
        <w:t>24</w:t>
      </w:r>
      <w:r w:rsidR="009D2EB0" w:rsidRPr="00D525A4">
        <w:t xml:space="preserve">  Publication of cancellation information</w:t>
      </w:r>
      <w:bookmarkEnd w:id="59"/>
    </w:p>
    <w:p w14:paraId="2C561D79" w14:textId="440EF6EE" w:rsidR="009D2EB0" w:rsidRPr="00D525A4" w:rsidRDefault="009D2EB0" w:rsidP="009D2EB0">
      <w:pPr>
        <w:pStyle w:val="subsection"/>
        <w:rPr>
          <w:strike/>
        </w:rPr>
      </w:pPr>
      <w:r w:rsidRPr="00D525A4">
        <w:tab/>
      </w:r>
      <w:r w:rsidRPr="00D525A4">
        <w:tab/>
        <w:t xml:space="preserve">For the purposes of </w:t>
      </w:r>
      <w:r w:rsidR="0013261E" w:rsidRPr="00D525A4">
        <w:t>subsections 7</w:t>
      </w:r>
      <w:r w:rsidRPr="00D525A4">
        <w:t>5G(3) and 76J(4) of the Act, the manner of publishing the list of names and dates mentioned in those subsections is on AUSTRAC’s website.</w:t>
      </w:r>
    </w:p>
    <w:p w14:paraId="7EB57582" w14:textId="1B21ABE0" w:rsidR="009D2EB0" w:rsidRPr="00D525A4" w:rsidRDefault="0013261E" w:rsidP="009D2EB0">
      <w:pPr>
        <w:pStyle w:val="ActHead3"/>
        <w:pageBreakBefore/>
      </w:pPr>
      <w:bookmarkStart w:id="60" w:name="_Toc198224949"/>
      <w:r w:rsidRPr="00D525A4">
        <w:rPr>
          <w:rStyle w:val="CharDivNo"/>
        </w:rPr>
        <w:lastRenderedPageBreak/>
        <w:t>Division </w:t>
      </w:r>
      <w:r w:rsidR="000B50E5" w:rsidRPr="00D525A4">
        <w:rPr>
          <w:rStyle w:val="CharDivNo"/>
        </w:rPr>
        <w:t>6</w:t>
      </w:r>
      <w:r w:rsidR="009D2EB0" w:rsidRPr="00D525A4">
        <w:t>—</w:t>
      </w:r>
      <w:r w:rsidR="009D2EB0" w:rsidRPr="00D525A4">
        <w:rPr>
          <w:rStyle w:val="CharDivText"/>
        </w:rPr>
        <w:t>Renewal of registration</w:t>
      </w:r>
      <w:bookmarkEnd w:id="60"/>
    </w:p>
    <w:p w14:paraId="1269F22B" w14:textId="1C11D7B6" w:rsidR="009D2EB0" w:rsidRPr="00D525A4" w:rsidRDefault="00EC097E" w:rsidP="009D2EB0">
      <w:pPr>
        <w:pStyle w:val="ActHead5"/>
      </w:pPr>
      <w:bookmarkStart w:id="61" w:name="_Toc198224950"/>
      <w:r w:rsidRPr="00D525A4">
        <w:rPr>
          <w:rStyle w:val="CharSectno"/>
        </w:rPr>
        <w:t>3</w:t>
      </w:r>
      <w:r w:rsidR="00D525A4">
        <w:rPr>
          <w:rStyle w:val="CharSectno"/>
        </w:rPr>
        <w:noBreakHyphen/>
      </w:r>
      <w:r w:rsidRPr="00D525A4">
        <w:rPr>
          <w:rStyle w:val="CharSectno"/>
        </w:rPr>
        <w:t>25</w:t>
      </w:r>
      <w:r w:rsidR="009D2EB0" w:rsidRPr="00D525A4">
        <w:t xml:space="preserve">  Purpose of this Division</w:t>
      </w:r>
      <w:bookmarkEnd w:id="61"/>
    </w:p>
    <w:p w14:paraId="057C0B81" w14:textId="36D83CAF" w:rsidR="009D2EB0" w:rsidRPr="00D525A4" w:rsidRDefault="009D2EB0" w:rsidP="009D2EB0">
      <w:pPr>
        <w:pStyle w:val="subsection"/>
      </w:pPr>
      <w:r w:rsidRPr="00D525A4">
        <w:tab/>
      </w:r>
      <w:r w:rsidRPr="00D525A4">
        <w:tab/>
        <w:t xml:space="preserve">This Division is made for the purposes of </w:t>
      </w:r>
      <w:r w:rsidR="0013261E" w:rsidRPr="00D525A4">
        <w:t>sections 7</w:t>
      </w:r>
      <w:r w:rsidRPr="00D525A4">
        <w:t>5J and 76L of the Act.</w:t>
      </w:r>
    </w:p>
    <w:p w14:paraId="02D209F7" w14:textId="67D6AE0F" w:rsidR="009D2EB0" w:rsidRPr="00D525A4" w:rsidRDefault="00EC097E" w:rsidP="009D2EB0">
      <w:pPr>
        <w:pStyle w:val="ActHead5"/>
      </w:pPr>
      <w:bookmarkStart w:id="62" w:name="_Toc198224951"/>
      <w:r w:rsidRPr="00D525A4">
        <w:rPr>
          <w:rStyle w:val="CharSectno"/>
        </w:rPr>
        <w:t>3</w:t>
      </w:r>
      <w:r w:rsidR="00D525A4">
        <w:rPr>
          <w:rStyle w:val="CharSectno"/>
        </w:rPr>
        <w:noBreakHyphen/>
      </w:r>
      <w:r w:rsidRPr="00D525A4">
        <w:rPr>
          <w:rStyle w:val="CharSectno"/>
        </w:rPr>
        <w:t>26</w:t>
      </w:r>
      <w:r w:rsidR="009D2EB0" w:rsidRPr="00D525A4">
        <w:t xml:space="preserve">  Application for renewal of registration</w:t>
      </w:r>
      <w:bookmarkEnd w:id="62"/>
    </w:p>
    <w:p w14:paraId="4ED501C0" w14:textId="25E48E49" w:rsidR="009D2EB0" w:rsidRPr="00D525A4" w:rsidRDefault="009D2EB0" w:rsidP="009D2EB0">
      <w:pPr>
        <w:pStyle w:val="subsection"/>
      </w:pPr>
      <w:r w:rsidRPr="00D525A4">
        <w:tab/>
        <w:t>(1)</w:t>
      </w:r>
      <w:r w:rsidRPr="00D525A4">
        <w:tab/>
        <w:t xml:space="preserve">A person registered under </w:t>
      </w:r>
      <w:r w:rsidR="0013261E" w:rsidRPr="00D525A4">
        <w:t>Part 6</w:t>
      </w:r>
      <w:r w:rsidRPr="00D525A4">
        <w:t xml:space="preserve"> or 6A of the Act as any of the following may apply in writing to the AUSTRAC CEO for renewal of that registration:</w:t>
      </w:r>
    </w:p>
    <w:p w14:paraId="5CB1055B" w14:textId="77777777" w:rsidR="009D2EB0" w:rsidRPr="00D525A4" w:rsidRDefault="009D2EB0" w:rsidP="009D2EB0">
      <w:pPr>
        <w:pStyle w:val="paragraph"/>
      </w:pPr>
      <w:r w:rsidRPr="00D525A4">
        <w:tab/>
        <w:t>(a)</w:t>
      </w:r>
      <w:r w:rsidRPr="00D525A4">
        <w:tab/>
        <w:t>a remittance network provider;</w:t>
      </w:r>
    </w:p>
    <w:p w14:paraId="0E276667" w14:textId="77777777" w:rsidR="009D2EB0" w:rsidRPr="00D525A4" w:rsidRDefault="009D2EB0" w:rsidP="009D2EB0">
      <w:pPr>
        <w:pStyle w:val="paragraph"/>
      </w:pPr>
      <w:r w:rsidRPr="00D525A4">
        <w:tab/>
        <w:t>(b)</w:t>
      </w:r>
      <w:r w:rsidRPr="00D525A4">
        <w:tab/>
        <w:t>an independent remittance dealer;</w:t>
      </w:r>
    </w:p>
    <w:p w14:paraId="189037F1" w14:textId="77777777" w:rsidR="009D2EB0" w:rsidRPr="00D525A4" w:rsidRDefault="009D2EB0" w:rsidP="009D2EB0">
      <w:pPr>
        <w:pStyle w:val="paragraph"/>
      </w:pPr>
      <w:r w:rsidRPr="00D525A4">
        <w:tab/>
        <w:t>(c)</w:t>
      </w:r>
      <w:r w:rsidRPr="00D525A4">
        <w:tab/>
        <w:t>a remittance affiliate of a registered remittance network provider that applied for registration on its own behalf (see paragraph 75B(1)(c) of the Act);</w:t>
      </w:r>
    </w:p>
    <w:p w14:paraId="6FBEC6B4" w14:textId="77777777" w:rsidR="009D2EB0" w:rsidRPr="00D525A4" w:rsidRDefault="009D2EB0" w:rsidP="009D2EB0">
      <w:pPr>
        <w:pStyle w:val="paragraph"/>
      </w:pPr>
      <w:r w:rsidRPr="00D525A4">
        <w:tab/>
        <w:t>(d)</w:t>
      </w:r>
      <w:r w:rsidRPr="00D525A4">
        <w:tab/>
        <w:t>a virtual asset service provider.</w:t>
      </w:r>
    </w:p>
    <w:p w14:paraId="04D9E367" w14:textId="66EB1EC9" w:rsidR="009D2EB0" w:rsidRPr="00D525A4" w:rsidRDefault="009D2EB0" w:rsidP="009D2EB0">
      <w:pPr>
        <w:pStyle w:val="subsection"/>
      </w:pPr>
      <w:r w:rsidRPr="00D525A4">
        <w:tab/>
        <w:t>(2)</w:t>
      </w:r>
      <w:r w:rsidRPr="00D525A4">
        <w:tab/>
        <w:t xml:space="preserve">A remittance network provider that applied for registration of a person as a remittance affiliate of the provider under </w:t>
      </w:r>
      <w:r w:rsidR="0013261E" w:rsidRPr="00D525A4">
        <w:t>Part 6</w:t>
      </w:r>
      <w:r w:rsidRPr="00D525A4">
        <w:t xml:space="preserve"> of the Act may apply in writing to the AUSTRAC CEO for renewal of that registration.</w:t>
      </w:r>
    </w:p>
    <w:p w14:paraId="35F58B35" w14:textId="77777777" w:rsidR="009D2EB0" w:rsidRPr="00D525A4" w:rsidRDefault="009D2EB0" w:rsidP="009D2EB0">
      <w:pPr>
        <w:pStyle w:val="subsection"/>
      </w:pPr>
      <w:r w:rsidRPr="00D525A4">
        <w:tab/>
        <w:t>(3)</w:t>
      </w:r>
      <w:r w:rsidRPr="00D525A4">
        <w:tab/>
        <w:t>An application under this section:</w:t>
      </w:r>
    </w:p>
    <w:p w14:paraId="27EA5137" w14:textId="77777777" w:rsidR="009D2EB0" w:rsidRPr="00D525A4" w:rsidRDefault="009D2EB0" w:rsidP="009D2EB0">
      <w:pPr>
        <w:pStyle w:val="paragraph"/>
      </w:pPr>
      <w:r w:rsidRPr="00D525A4">
        <w:tab/>
        <w:t>(a)</w:t>
      </w:r>
      <w:r w:rsidRPr="00D525A4">
        <w:tab/>
        <w:t>must be in the approved form; and</w:t>
      </w:r>
    </w:p>
    <w:p w14:paraId="633A601A" w14:textId="33F127D3" w:rsidR="009D2EB0" w:rsidRPr="00D525A4" w:rsidRDefault="009D2EB0" w:rsidP="009D2EB0">
      <w:pPr>
        <w:pStyle w:val="paragraph"/>
      </w:pPr>
      <w:r w:rsidRPr="00D525A4">
        <w:tab/>
        <w:t>(b)</w:t>
      </w:r>
      <w:r w:rsidRPr="00D525A4">
        <w:tab/>
        <w:t xml:space="preserve">must contain the information required by the approved form, which may include information regarding whether </w:t>
      </w:r>
      <w:r w:rsidR="0013261E" w:rsidRPr="00D525A4">
        <w:t>section 7</w:t>
      </w:r>
      <w:r w:rsidRPr="00D525A4">
        <w:t>5M or 76P of the Act (as applicable) has been complied with in relation to the registration.</w:t>
      </w:r>
    </w:p>
    <w:p w14:paraId="5185BD54" w14:textId="572A7973" w:rsidR="009D2EB0" w:rsidRPr="00D525A4" w:rsidRDefault="00EC097E" w:rsidP="009D2EB0">
      <w:pPr>
        <w:pStyle w:val="ActHead5"/>
      </w:pPr>
      <w:bookmarkStart w:id="63" w:name="_Toc198224952"/>
      <w:r w:rsidRPr="00D525A4">
        <w:rPr>
          <w:rStyle w:val="CharSectno"/>
        </w:rPr>
        <w:t>3</w:t>
      </w:r>
      <w:r w:rsidR="00D525A4">
        <w:rPr>
          <w:rStyle w:val="CharSectno"/>
        </w:rPr>
        <w:noBreakHyphen/>
      </w:r>
      <w:r w:rsidRPr="00D525A4">
        <w:rPr>
          <w:rStyle w:val="CharSectno"/>
        </w:rPr>
        <w:t>27</w:t>
      </w:r>
      <w:r w:rsidR="009D2EB0" w:rsidRPr="00D525A4">
        <w:t xml:space="preserve">  Period within which renewal applications may be made</w:t>
      </w:r>
      <w:bookmarkEnd w:id="63"/>
    </w:p>
    <w:p w14:paraId="12BD3156" w14:textId="2403856F" w:rsidR="009D2EB0" w:rsidRPr="00D525A4" w:rsidRDefault="009D2EB0" w:rsidP="009D2EB0">
      <w:pPr>
        <w:pStyle w:val="subsection"/>
      </w:pPr>
      <w:r w:rsidRPr="00D525A4">
        <w:tab/>
      </w:r>
      <w:r w:rsidRPr="00D525A4">
        <w:tab/>
        <w:t xml:space="preserve">An application for renewal of a person’s registration under </w:t>
      </w:r>
      <w:r w:rsidR="0013261E" w:rsidRPr="00D525A4">
        <w:t>Part 6</w:t>
      </w:r>
      <w:r w:rsidRPr="00D525A4">
        <w:t xml:space="preserve"> or 6A of the Act may be made within the period of 90 days ending on the day on which the registration would otherwise cease under paragraph 75F(1)(c) or 76H(1)(c) of the Act.</w:t>
      </w:r>
    </w:p>
    <w:p w14:paraId="7F1A6058" w14:textId="6459D887" w:rsidR="009D2EB0" w:rsidRPr="00D525A4" w:rsidRDefault="00EC097E" w:rsidP="009D2EB0">
      <w:pPr>
        <w:pStyle w:val="ActHead5"/>
      </w:pPr>
      <w:bookmarkStart w:id="64" w:name="_Toc198224953"/>
      <w:r w:rsidRPr="00D525A4">
        <w:rPr>
          <w:rStyle w:val="CharSectno"/>
        </w:rPr>
        <w:t>3</w:t>
      </w:r>
      <w:r w:rsidR="00D525A4">
        <w:rPr>
          <w:rStyle w:val="CharSectno"/>
        </w:rPr>
        <w:noBreakHyphen/>
      </w:r>
      <w:r w:rsidRPr="00D525A4">
        <w:rPr>
          <w:rStyle w:val="CharSectno"/>
        </w:rPr>
        <w:t>28</w:t>
      </w:r>
      <w:r w:rsidR="009D2EB0" w:rsidRPr="00D525A4">
        <w:t xml:space="preserve">  Determining renewal application</w:t>
      </w:r>
      <w:bookmarkEnd w:id="64"/>
    </w:p>
    <w:p w14:paraId="31EF0156" w14:textId="6C909032" w:rsidR="009D2EB0" w:rsidRPr="00D525A4" w:rsidRDefault="009D2EB0" w:rsidP="009D2EB0">
      <w:pPr>
        <w:pStyle w:val="subsection"/>
      </w:pPr>
      <w:r w:rsidRPr="00D525A4">
        <w:tab/>
      </w:r>
      <w:r w:rsidRPr="00D525A4">
        <w:tab/>
        <w:t xml:space="preserve">If an application for renewal of a person’s registration is made in accordance with sections </w:t>
      </w:r>
      <w:r w:rsidR="00EC097E" w:rsidRPr="00D525A4">
        <w:t>3</w:t>
      </w:r>
      <w:r w:rsidR="00D525A4">
        <w:noBreakHyphen/>
      </w:r>
      <w:r w:rsidR="00EC097E" w:rsidRPr="00D525A4">
        <w:t>26</w:t>
      </w:r>
      <w:r w:rsidRPr="00D525A4">
        <w:t xml:space="preserve"> and </w:t>
      </w:r>
      <w:r w:rsidR="00EC097E" w:rsidRPr="00D525A4">
        <w:t>3</w:t>
      </w:r>
      <w:r w:rsidR="00D525A4">
        <w:noBreakHyphen/>
      </w:r>
      <w:r w:rsidR="00EC097E" w:rsidRPr="00D525A4">
        <w:t>27</w:t>
      </w:r>
      <w:r w:rsidRPr="00D525A4">
        <w:t xml:space="preserve"> of this instrument, the AUSTRAC CEO must decide to renew the registration if the AUSTRAC CEO is satisfied that it is appropriate to do so, having regard to:</w:t>
      </w:r>
    </w:p>
    <w:p w14:paraId="39131357" w14:textId="543865E3" w:rsidR="009D2EB0" w:rsidRPr="00D525A4" w:rsidRDefault="009D2EB0" w:rsidP="009D2EB0">
      <w:pPr>
        <w:pStyle w:val="paragraph"/>
      </w:pPr>
      <w:r w:rsidRPr="00D525A4">
        <w:tab/>
        <w:t>(a)</w:t>
      </w:r>
      <w:r w:rsidRPr="00D525A4">
        <w:tab/>
        <w:t>whether the renewed registration of the person would involve a significant money laundering, financing of terrorism or other serious crime risk; and</w:t>
      </w:r>
    </w:p>
    <w:p w14:paraId="59FF4E33" w14:textId="1E4DD302" w:rsidR="009D2EB0" w:rsidRPr="00D525A4" w:rsidRDefault="009D2EB0" w:rsidP="009D2EB0">
      <w:pPr>
        <w:pStyle w:val="paragraph"/>
      </w:pPr>
      <w:r w:rsidRPr="00D525A4">
        <w:tab/>
        <w:t>(b)</w:t>
      </w:r>
      <w:r w:rsidRPr="00D525A4">
        <w:tab/>
        <w:t xml:space="preserve">whether </w:t>
      </w:r>
      <w:r w:rsidR="0013261E" w:rsidRPr="00D525A4">
        <w:t>section 7</w:t>
      </w:r>
      <w:r w:rsidRPr="00D525A4">
        <w:t xml:space="preserve">5M or 76P of the Act (as applicable) has been complied with in relation to the registration, and whether the person’s enrolment details and </w:t>
      </w:r>
      <w:r w:rsidR="009116BB" w:rsidRPr="00D525A4">
        <w:t>registrable details</w:t>
      </w:r>
      <w:r w:rsidRPr="00D525A4">
        <w:t>, as advised to the AUSTRAC CEO are correct and up</w:t>
      </w:r>
      <w:r w:rsidR="00D525A4">
        <w:noBreakHyphen/>
      </w:r>
      <w:r w:rsidRPr="00D525A4">
        <w:t>to</w:t>
      </w:r>
      <w:r w:rsidR="00D525A4">
        <w:noBreakHyphen/>
      </w:r>
      <w:r w:rsidRPr="00D525A4">
        <w:t>date; and</w:t>
      </w:r>
    </w:p>
    <w:p w14:paraId="3267F3C3" w14:textId="77777777" w:rsidR="009D2EB0" w:rsidRPr="00D525A4" w:rsidRDefault="009D2EB0" w:rsidP="009D2EB0">
      <w:pPr>
        <w:pStyle w:val="paragraph"/>
      </w:pPr>
      <w:r w:rsidRPr="00D525A4">
        <w:tab/>
        <w:t>(c)</w:t>
      </w:r>
      <w:r w:rsidRPr="00D525A4">
        <w:tab/>
        <w:t>whether the AUSTRAC CEO reasonably suspects that any information contained in the application:</w:t>
      </w:r>
    </w:p>
    <w:p w14:paraId="58FF55A2" w14:textId="77777777" w:rsidR="009D2EB0" w:rsidRPr="00D525A4" w:rsidRDefault="009D2EB0" w:rsidP="009D2EB0">
      <w:pPr>
        <w:pStyle w:val="paragraphsub"/>
      </w:pPr>
      <w:r w:rsidRPr="00D525A4">
        <w:tab/>
        <w:t>(i)</w:t>
      </w:r>
      <w:r w:rsidRPr="00D525A4">
        <w:tab/>
        <w:t>is false or misleading in a material particular; or</w:t>
      </w:r>
    </w:p>
    <w:p w14:paraId="568500DE" w14:textId="77777777" w:rsidR="009D2EB0" w:rsidRPr="00D525A4" w:rsidRDefault="009D2EB0" w:rsidP="009D2EB0">
      <w:pPr>
        <w:pStyle w:val="paragraphsub"/>
      </w:pPr>
      <w:r w:rsidRPr="00D525A4">
        <w:lastRenderedPageBreak/>
        <w:tab/>
        <w:t>(ii)</w:t>
      </w:r>
      <w:r w:rsidRPr="00D525A4">
        <w:tab/>
        <w:t>omits any matter or thing without which the information is misleading in a material particular; and</w:t>
      </w:r>
    </w:p>
    <w:p w14:paraId="477F1665" w14:textId="77777777" w:rsidR="009D2EB0" w:rsidRPr="00D525A4" w:rsidRDefault="009D2EB0" w:rsidP="009D2EB0">
      <w:pPr>
        <w:pStyle w:val="paragraph"/>
      </w:pPr>
      <w:r w:rsidRPr="00D525A4">
        <w:tab/>
        <w:t>(d)</w:t>
      </w:r>
      <w:r w:rsidRPr="00D525A4">
        <w:tab/>
        <w:t>whether the registered person continues to have the operational capability necessary to comply with the Act, the regulations and the AML/CTF Rules.</w:t>
      </w:r>
    </w:p>
    <w:p w14:paraId="718B010C" w14:textId="00F8B126" w:rsidR="009D2EB0" w:rsidRPr="00D525A4" w:rsidRDefault="00EC097E" w:rsidP="009D2EB0">
      <w:pPr>
        <w:pStyle w:val="ActHead5"/>
      </w:pPr>
      <w:bookmarkStart w:id="65" w:name="_Toc198224954"/>
      <w:r w:rsidRPr="00D525A4">
        <w:rPr>
          <w:rStyle w:val="CharSectno"/>
        </w:rPr>
        <w:t>3</w:t>
      </w:r>
      <w:r w:rsidR="00D525A4">
        <w:rPr>
          <w:rStyle w:val="CharSectno"/>
        </w:rPr>
        <w:noBreakHyphen/>
      </w:r>
      <w:r w:rsidRPr="00D525A4">
        <w:rPr>
          <w:rStyle w:val="CharSectno"/>
        </w:rPr>
        <w:t>29</w:t>
      </w:r>
      <w:r w:rsidR="009D2EB0" w:rsidRPr="00D525A4">
        <w:t xml:space="preserve">  Period for which renewed registrations have effect</w:t>
      </w:r>
      <w:bookmarkEnd w:id="65"/>
    </w:p>
    <w:p w14:paraId="7CB419D3" w14:textId="2CC10074" w:rsidR="009D2EB0" w:rsidRPr="00D525A4" w:rsidRDefault="009D2EB0" w:rsidP="009D2EB0">
      <w:pPr>
        <w:pStyle w:val="subsection"/>
      </w:pPr>
      <w:r w:rsidRPr="00D525A4">
        <w:tab/>
      </w:r>
      <w:r w:rsidRPr="00D525A4">
        <w:tab/>
        <w:t xml:space="preserve">A renewed registration under </w:t>
      </w:r>
      <w:r w:rsidR="0013261E" w:rsidRPr="00D525A4">
        <w:t>Part 6</w:t>
      </w:r>
      <w:r w:rsidRPr="00D525A4">
        <w:t xml:space="preserve"> or 6A of the Act has effect for a period of 3 years.</w:t>
      </w:r>
    </w:p>
    <w:p w14:paraId="244FA638" w14:textId="4A07051E" w:rsidR="009D2EB0" w:rsidRPr="00D525A4" w:rsidRDefault="00EC097E" w:rsidP="009D2EB0">
      <w:pPr>
        <w:pStyle w:val="ActHead5"/>
      </w:pPr>
      <w:bookmarkStart w:id="66" w:name="_Toc198224955"/>
      <w:r w:rsidRPr="00D525A4">
        <w:rPr>
          <w:rStyle w:val="CharSectno"/>
        </w:rPr>
        <w:t>3</w:t>
      </w:r>
      <w:r w:rsidR="00D525A4">
        <w:rPr>
          <w:rStyle w:val="CharSectno"/>
        </w:rPr>
        <w:noBreakHyphen/>
      </w:r>
      <w:r w:rsidRPr="00D525A4">
        <w:rPr>
          <w:rStyle w:val="CharSectno"/>
        </w:rPr>
        <w:t>30</w:t>
      </w:r>
      <w:r w:rsidR="009D2EB0" w:rsidRPr="00D525A4">
        <w:t xml:space="preserve">  Decision on renewal application is a reviewable decision</w:t>
      </w:r>
      <w:bookmarkEnd w:id="66"/>
    </w:p>
    <w:p w14:paraId="1EA881D8" w14:textId="0C0AC232" w:rsidR="009D2EB0" w:rsidRPr="00D525A4" w:rsidRDefault="009D2EB0" w:rsidP="009D2EB0">
      <w:pPr>
        <w:pStyle w:val="subsection"/>
      </w:pPr>
      <w:r w:rsidRPr="00D525A4">
        <w:tab/>
      </w:r>
      <w:r w:rsidRPr="00D525A4">
        <w:tab/>
        <w:t xml:space="preserve">A decision of the AUSTRAC CEO under section </w:t>
      </w:r>
      <w:r w:rsidR="00EC097E" w:rsidRPr="00D525A4">
        <w:t>3</w:t>
      </w:r>
      <w:r w:rsidR="00D525A4">
        <w:noBreakHyphen/>
      </w:r>
      <w:r w:rsidR="00EC097E" w:rsidRPr="00D525A4">
        <w:t>28</w:t>
      </w:r>
      <w:r w:rsidRPr="00D525A4">
        <w:t xml:space="preserve"> of this instrument not to renew a person’s registration is a reviewable decision.</w:t>
      </w:r>
    </w:p>
    <w:p w14:paraId="418A0A98" w14:textId="13C8AB1E" w:rsidR="009D2EB0" w:rsidRPr="00D525A4" w:rsidRDefault="00EC097E" w:rsidP="009D2EB0">
      <w:pPr>
        <w:pStyle w:val="ActHead5"/>
      </w:pPr>
      <w:bookmarkStart w:id="67" w:name="_Toc198224956"/>
      <w:r w:rsidRPr="00D525A4">
        <w:rPr>
          <w:rStyle w:val="CharSectno"/>
        </w:rPr>
        <w:t>3</w:t>
      </w:r>
      <w:r w:rsidR="00D525A4">
        <w:rPr>
          <w:rStyle w:val="CharSectno"/>
        </w:rPr>
        <w:noBreakHyphen/>
      </w:r>
      <w:r w:rsidRPr="00D525A4">
        <w:rPr>
          <w:rStyle w:val="CharSectno"/>
        </w:rPr>
        <w:t>31</w:t>
      </w:r>
      <w:r w:rsidR="009D2EB0" w:rsidRPr="00D525A4">
        <w:t xml:space="preserve">  Continuation of registration pending decision on renewal application</w:t>
      </w:r>
      <w:bookmarkEnd w:id="67"/>
    </w:p>
    <w:p w14:paraId="67C53BDD" w14:textId="77777777" w:rsidR="009D2EB0" w:rsidRPr="00D525A4" w:rsidRDefault="009D2EB0" w:rsidP="009D2EB0">
      <w:pPr>
        <w:pStyle w:val="subsection"/>
      </w:pPr>
      <w:r w:rsidRPr="00D525A4">
        <w:tab/>
        <w:t>(1)</w:t>
      </w:r>
      <w:r w:rsidRPr="00D525A4">
        <w:tab/>
        <w:t>This section applies if:</w:t>
      </w:r>
    </w:p>
    <w:p w14:paraId="1496748A" w14:textId="0E936ABC" w:rsidR="009D2EB0" w:rsidRPr="00D525A4" w:rsidRDefault="009D2EB0" w:rsidP="009D2EB0">
      <w:pPr>
        <w:pStyle w:val="paragraph"/>
      </w:pPr>
      <w:r w:rsidRPr="00D525A4">
        <w:tab/>
        <w:t>(a)</w:t>
      </w:r>
      <w:r w:rsidRPr="00D525A4">
        <w:tab/>
        <w:t xml:space="preserve">the registration of a person under </w:t>
      </w:r>
      <w:r w:rsidR="0013261E" w:rsidRPr="00D525A4">
        <w:t>Part 6</w:t>
      </w:r>
      <w:r w:rsidRPr="00D525A4">
        <w:t xml:space="preserve"> or 6A of the Act would otherwise cease at the end of the period of 3 years commencing on the day on which the registration took effect; and</w:t>
      </w:r>
    </w:p>
    <w:p w14:paraId="6B019125" w14:textId="2483CA42" w:rsidR="009D2EB0" w:rsidRPr="00D525A4" w:rsidRDefault="009D2EB0" w:rsidP="009D2EB0">
      <w:pPr>
        <w:pStyle w:val="paragraph"/>
      </w:pPr>
      <w:r w:rsidRPr="00D525A4">
        <w:tab/>
        <w:t>(b)</w:t>
      </w:r>
      <w:r w:rsidRPr="00D525A4">
        <w:tab/>
        <w:t xml:space="preserve">before the end of that period, an application for renewal of the registration is made in accordance with section </w:t>
      </w:r>
      <w:r w:rsidR="00EC097E" w:rsidRPr="00D525A4">
        <w:t>3</w:t>
      </w:r>
      <w:r w:rsidR="00D525A4">
        <w:noBreakHyphen/>
      </w:r>
      <w:r w:rsidR="00EC097E" w:rsidRPr="00D525A4">
        <w:t>26</w:t>
      </w:r>
      <w:r w:rsidRPr="00D525A4">
        <w:t xml:space="preserve"> of th</w:t>
      </w:r>
      <w:r w:rsidR="009A6B27" w:rsidRPr="00D525A4">
        <w:t>is instrument.</w:t>
      </w:r>
    </w:p>
    <w:p w14:paraId="362A2F6E" w14:textId="536F86E8" w:rsidR="009D2EB0" w:rsidRPr="00D525A4" w:rsidRDefault="009D2EB0" w:rsidP="009D2EB0">
      <w:pPr>
        <w:pStyle w:val="subsection"/>
      </w:pPr>
      <w:r w:rsidRPr="00D525A4">
        <w:tab/>
        <w:t>(2)</w:t>
      </w:r>
      <w:r w:rsidRPr="00D525A4">
        <w:tab/>
        <w:t>The person’s registration continues in effect after the end of the 3</w:t>
      </w:r>
      <w:r w:rsidR="00D525A4">
        <w:noBreakHyphen/>
      </w:r>
      <w:r w:rsidRPr="00D525A4">
        <w:t>year period and until the AUSTRAC CEO’s decision on the renewal application takes effect.</w:t>
      </w:r>
    </w:p>
    <w:p w14:paraId="0912F6E0" w14:textId="737411E3" w:rsidR="009D2EB0" w:rsidRPr="00D525A4" w:rsidRDefault="0013261E" w:rsidP="009D2EB0">
      <w:pPr>
        <w:pStyle w:val="ActHead3"/>
        <w:pageBreakBefore/>
      </w:pPr>
      <w:bookmarkStart w:id="68" w:name="_Toc198224957"/>
      <w:r w:rsidRPr="00D525A4">
        <w:rPr>
          <w:rStyle w:val="CharDivNo"/>
        </w:rPr>
        <w:lastRenderedPageBreak/>
        <w:t>Division </w:t>
      </w:r>
      <w:r w:rsidR="000B50E5" w:rsidRPr="00D525A4">
        <w:rPr>
          <w:rStyle w:val="CharDivNo"/>
        </w:rPr>
        <w:t>7</w:t>
      </w:r>
      <w:r w:rsidR="009D2EB0" w:rsidRPr="00D525A4">
        <w:t>—</w:t>
      </w:r>
      <w:r w:rsidR="009D2EB0" w:rsidRPr="00D525A4">
        <w:rPr>
          <w:rStyle w:val="CharDivText"/>
        </w:rPr>
        <w:t>Matters registered persons required to advise</w:t>
      </w:r>
      <w:bookmarkEnd w:id="68"/>
    </w:p>
    <w:p w14:paraId="3795B5E2" w14:textId="6EF30344" w:rsidR="009D2EB0" w:rsidRPr="00D525A4" w:rsidRDefault="00EC097E" w:rsidP="009D2EB0">
      <w:pPr>
        <w:pStyle w:val="ActHead5"/>
      </w:pPr>
      <w:bookmarkStart w:id="69" w:name="_Toc198224958"/>
      <w:r w:rsidRPr="00D525A4">
        <w:rPr>
          <w:rStyle w:val="CharSectno"/>
        </w:rPr>
        <w:t>3</w:t>
      </w:r>
      <w:r w:rsidR="00D525A4">
        <w:rPr>
          <w:rStyle w:val="CharSectno"/>
        </w:rPr>
        <w:noBreakHyphen/>
      </w:r>
      <w:r w:rsidRPr="00D525A4">
        <w:rPr>
          <w:rStyle w:val="CharSectno"/>
        </w:rPr>
        <w:t>32</w:t>
      </w:r>
      <w:r w:rsidR="009D2EB0" w:rsidRPr="00D525A4">
        <w:t xml:space="preserve">  Matters registered persons required to advise</w:t>
      </w:r>
      <w:bookmarkEnd w:id="69"/>
    </w:p>
    <w:p w14:paraId="056F7606" w14:textId="68A1E025" w:rsidR="009D2EB0" w:rsidRPr="00D525A4" w:rsidRDefault="009D2EB0" w:rsidP="009D2EB0">
      <w:pPr>
        <w:pStyle w:val="subsection"/>
      </w:pPr>
      <w:r w:rsidRPr="00D525A4">
        <w:tab/>
        <w:t>(1)</w:t>
      </w:r>
      <w:r w:rsidRPr="00D525A4">
        <w:tab/>
        <w:t xml:space="preserve">For the purposes of paragraphs 75M(1)(e) and (2)(b), and 76P(1)(b), of the Act, this section specifies matters of which a person registered under </w:t>
      </w:r>
      <w:r w:rsidR="0013261E" w:rsidRPr="00D525A4">
        <w:t>Part 6</w:t>
      </w:r>
      <w:r w:rsidRPr="00D525A4">
        <w:t xml:space="preserve"> or 6A of the Act must advise under those paragraphs.</w:t>
      </w:r>
    </w:p>
    <w:p w14:paraId="200F6C45" w14:textId="77777777" w:rsidR="009D2EB0" w:rsidRPr="00D525A4" w:rsidRDefault="009D2EB0" w:rsidP="009D2EB0">
      <w:pPr>
        <w:pStyle w:val="subsection"/>
      </w:pPr>
      <w:r w:rsidRPr="00D525A4">
        <w:tab/>
        <w:t>(2)</w:t>
      </w:r>
      <w:r w:rsidRPr="00D525A4">
        <w:tab/>
        <w:t>The person must advise of the following matters:</w:t>
      </w:r>
    </w:p>
    <w:p w14:paraId="0AB94D5D" w14:textId="77777777" w:rsidR="009D2EB0" w:rsidRPr="00D525A4" w:rsidRDefault="009D2EB0" w:rsidP="009D2EB0">
      <w:pPr>
        <w:pStyle w:val="paragraph"/>
      </w:pPr>
      <w:r w:rsidRPr="00D525A4">
        <w:tab/>
        <w:t>(a)</w:t>
      </w:r>
      <w:r w:rsidRPr="00D525A4">
        <w:tab/>
        <w:t>a change in the person’s registrable details;</w:t>
      </w:r>
    </w:p>
    <w:p w14:paraId="01D9A867" w14:textId="7B0B2060" w:rsidR="009D2EB0" w:rsidRPr="00D525A4" w:rsidRDefault="009D2EB0" w:rsidP="009D2EB0">
      <w:pPr>
        <w:pStyle w:val="paragraph"/>
      </w:pPr>
      <w:r w:rsidRPr="00D525A4">
        <w:tab/>
        <w:t>(b)</w:t>
      </w:r>
      <w:r w:rsidRPr="00D525A4">
        <w:tab/>
        <w:t xml:space="preserve">a change in the matters mentioned in paragraphs </w:t>
      </w:r>
      <w:r w:rsidR="00EC097E" w:rsidRPr="00D525A4">
        <w:t>3</w:t>
      </w:r>
      <w:r w:rsidR="00D525A4">
        <w:noBreakHyphen/>
      </w:r>
      <w:r w:rsidR="00EC097E" w:rsidRPr="00D525A4">
        <w:t>9</w:t>
      </w:r>
      <w:r w:rsidRPr="00D525A4">
        <w:t>(2)(a), (b) or (c) in relation to the person or its key personnel (which deal with certain criminal or civil proceedings);</w:t>
      </w:r>
    </w:p>
    <w:p w14:paraId="161E3310" w14:textId="74E6071F" w:rsidR="009D2EB0" w:rsidRPr="00D525A4" w:rsidRDefault="009D2EB0" w:rsidP="009D2EB0">
      <w:pPr>
        <w:pStyle w:val="paragraph"/>
      </w:pPr>
      <w:r w:rsidRPr="00D525A4">
        <w:tab/>
        <w:t>(c)</w:t>
      </w:r>
      <w:r w:rsidRPr="00D525A4">
        <w:tab/>
        <w:t xml:space="preserve">a change in information mentioned in section </w:t>
      </w:r>
      <w:r w:rsidR="00EC097E" w:rsidRPr="00D525A4">
        <w:t>3</w:t>
      </w:r>
      <w:r w:rsidR="00D525A4">
        <w:noBreakHyphen/>
      </w:r>
      <w:r w:rsidR="00EC097E" w:rsidRPr="00D525A4">
        <w:t>8</w:t>
      </w:r>
      <w:r w:rsidRPr="00D525A4">
        <w:t xml:space="preserve"> (which deals with information regarding other persons assisting) in relation to the person;</w:t>
      </w:r>
    </w:p>
    <w:p w14:paraId="1F99B6C5" w14:textId="37AC37F5" w:rsidR="009D2EB0" w:rsidRPr="00D525A4" w:rsidRDefault="009D2EB0" w:rsidP="009D2EB0">
      <w:pPr>
        <w:pStyle w:val="paragraph"/>
      </w:pPr>
      <w:r w:rsidRPr="00D525A4">
        <w:tab/>
        <w:t>(d)</w:t>
      </w:r>
      <w:r w:rsidRPr="00D525A4">
        <w:tab/>
        <w:t xml:space="preserve">a change in any details mentioned in paragraph </w:t>
      </w:r>
      <w:r w:rsidR="00EC097E" w:rsidRPr="00D525A4">
        <w:t>3</w:t>
      </w:r>
      <w:r w:rsidR="00D525A4">
        <w:noBreakHyphen/>
      </w:r>
      <w:r w:rsidR="00EC097E" w:rsidRPr="00D525A4">
        <w:t>4</w:t>
      </w:r>
      <w:r w:rsidRPr="00D525A4">
        <w:t>(1)(e) (which deals with foreign country registrations or licences) in relation to the person;</w:t>
      </w:r>
    </w:p>
    <w:p w14:paraId="670578C2" w14:textId="77777777" w:rsidR="009D2EB0" w:rsidRPr="00D525A4" w:rsidRDefault="009D2EB0" w:rsidP="009D2EB0">
      <w:pPr>
        <w:pStyle w:val="paragraph"/>
      </w:pPr>
      <w:r w:rsidRPr="00D525A4">
        <w:tab/>
        <w:t>(e)</w:t>
      </w:r>
      <w:r w:rsidRPr="00D525A4">
        <w:tab/>
        <w:t>the person ceasing to provide registrable services;</w:t>
      </w:r>
    </w:p>
    <w:p w14:paraId="57F69878" w14:textId="64EB8A0B" w:rsidR="009D2EB0" w:rsidRPr="00D525A4" w:rsidRDefault="009D2EB0" w:rsidP="009D2EB0">
      <w:pPr>
        <w:pStyle w:val="paragraph"/>
      </w:pPr>
      <w:r w:rsidRPr="00D525A4">
        <w:tab/>
        <w:t>(f)</w:t>
      </w:r>
      <w:r w:rsidRPr="00D525A4">
        <w:tab/>
        <w:t xml:space="preserve">a change in the information mentioned in paragraph </w:t>
      </w:r>
      <w:r w:rsidR="00EC097E" w:rsidRPr="00D525A4">
        <w:t>3</w:t>
      </w:r>
      <w:r w:rsidR="00D525A4">
        <w:noBreakHyphen/>
      </w:r>
      <w:r w:rsidR="00EC097E" w:rsidRPr="00D525A4">
        <w:t>4</w:t>
      </w:r>
      <w:r w:rsidRPr="00D525A4">
        <w:t>(1)(j) (which deals with details of any beneficial owners) in relation to the person;</w:t>
      </w:r>
    </w:p>
    <w:p w14:paraId="2A442650" w14:textId="3B1BB23F" w:rsidR="009D2EB0" w:rsidRPr="00D525A4" w:rsidRDefault="009D2EB0" w:rsidP="009D2EB0">
      <w:pPr>
        <w:pStyle w:val="paragraph"/>
      </w:pPr>
      <w:r w:rsidRPr="00D525A4">
        <w:tab/>
        <w:t>(g)</w:t>
      </w:r>
      <w:r w:rsidRPr="00D525A4">
        <w:tab/>
        <w:t xml:space="preserve">a change in the information mentioned in paragraph </w:t>
      </w:r>
      <w:r w:rsidR="00EC097E" w:rsidRPr="00D525A4">
        <w:t>3</w:t>
      </w:r>
      <w:r w:rsidR="00D525A4">
        <w:noBreakHyphen/>
      </w:r>
      <w:r w:rsidR="00EC097E" w:rsidRPr="00D525A4">
        <w:t>4</w:t>
      </w:r>
      <w:r w:rsidRPr="00D525A4">
        <w:t>(1)(q) (which deals with dealing with persons located in foreign countries) in relation to the person;</w:t>
      </w:r>
    </w:p>
    <w:p w14:paraId="137E8210" w14:textId="77777777" w:rsidR="009D2EB0" w:rsidRPr="00D525A4" w:rsidRDefault="009D2EB0" w:rsidP="009D2EB0">
      <w:pPr>
        <w:pStyle w:val="paragraph"/>
      </w:pPr>
      <w:r w:rsidRPr="00D525A4">
        <w:tab/>
        <w:t>(h)</w:t>
      </w:r>
      <w:r w:rsidRPr="00D525A4">
        <w:tab/>
        <w:t>for a person registered as a remittance network provider—a removal by the provider of a remittance affiliate of the provider from its remittance network.</w:t>
      </w:r>
    </w:p>
    <w:p w14:paraId="69423DD3" w14:textId="77777777" w:rsidR="009D2EB0" w:rsidRPr="00D525A4" w:rsidRDefault="009D2EB0" w:rsidP="009D2EB0">
      <w:pPr>
        <w:pStyle w:val="subsection"/>
      </w:pPr>
      <w:r w:rsidRPr="00D525A4">
        <w:tab/>
        <w:t>(3)</w:t>
      </w:r>
      <w:r w:rsidRPr="00D525A4">
        <w:tab/>
        <w:t>The person must advise if the person becomes aware that information given to the AUSTRAC CEO was incomplete or inaccurate, and of the correction or clarification required in relation to the information, in circumstances where the information was given:</w:t>
      </w:r>
    </w:p>
    <w:p w14:paraId="2D4AADB5" w14:textId="77777777" w:rsidR="009D2EB0" w:rsidRPr="00D525A4" w:rsidRDefault="009D2EB0" w:rsidP="009D2EB0">
      <w:pPr>
        <w:pStyle w:val="paragraph"/>
      </w:pPr>
      <w:r w:rsidRPr="00D525A4">
        <w:tab/>
        <w:t>(a)</w:t>
      </w:r>
      <w:r w:rsidRPr="00D525A4">
        <w:tab/>
        <w:t>by the person in connection with the registration; or</w:t>
      </w:r>
    </w:p>
    <w:p w14:paraId="24F6BB5E" w14:textId="77777777" w:rsidR="009D2EB0" w:rsidRPr="00D525A4" w:rsidRDefault="009D2EB0" w:rsidP="009D2EB0">
      <w:pPr>
        <w:pStyle w:val="paragraph"/>
      </w:pPr>
      <w:r w:rsidRPr="00D525A4">
        <w:tab/>
        <w:t>(b)</w:t>
      </w:r>
      <w:r w:rsidRPr="00D525A4">
        <w:tab/>
        <w:t>if the registration is as a remittance affiliate of a registered network provider—by the provider in connection with the registration; or</w:t>
      </w:r>
    </w:p>
    <w:p w14:paraId="287ECAFC" w14:textId="0B2463DC" w:rsidR="009D2EB0" w:rsidRPr="00D525A4" w:rsidRDefault="009D2EB0" w:rsidP="009D2EB0">
      <w:pPr>
        <w:pStyle w:val="paragraph"/>
      </w:pPr>
      <w:r w:rsidRPr="00D525A4">
        <w:tab/>
        <w:t>(c)</w:t>
      </w:r>
      <w:r w:rsidRPr="00D525A4">
        <w:tab/>
        <w:t>if the registration is as a remittance network provider—by the provider in connection with the registration of a remittance affiliate of the provider.</w:t>
      </w:r>
    </w:p>
    <w:p w14:paraId="1864F9B7" w14:textId="06F22C99" w:rsidR="009D2EB0" w:rsidRPr="00D525A4" w:rsidRDefault="009D2EB0" w:rsidP="009D2EB0">
      <w:pPr>
        <w:pStyle w:val="ActHead3"/>
        <w:pageBreakBefore/>
      </w:pPr>
      <w:bookmarkStart w:id="70" w:name="_Toc198224959"/>
      <w:r w:rsidRPr="00D525A4">
        <w:rPr>
          <w:rStyle w:val="CharDivNo"/>
        </w:rPr>
        <w:lastRenderedPageBreak/>
        <w:t>Division </w:t>
      </w:r>
      <w:r w:rsidR="000B50E5" w:rsidRPr="00D525A4">
        <w:rPr>
          <w:rStyle w:val="CharDivNo"/>
        </w:rPr>
        <w:t>8</w:t>
      </w:r>
      <w:r w:rsidRPr="00D525A4">
        <w:t>—</w:t>
      </w:r>
      <w:r w:rsidRPr="00D525A4">
        <w:rPr>
          <w:rStyle w:val="CharDivText"/>
        </w:rPr>
        <w:t>Other matters</w:t>
      </w:r>
      <w:bookmarkEnd w:id="70"/>
    </w:p>
    <w:p w14:paraId="74CC9866" w14:textId="3091E418" w:rsidR="009D2EB0" w:rsidRPr="00D525A4" w:rsidRDefault="00EC097E" w:rsidP="009D2EB0">
      <w:pPr>
        <w:pStyle w:val="ActHead5"/>
      </w:pPr>
      <w:bookmarkStart w:id="71" w:name="_Toc198224960"/>
      <w:r w:rsidRPr="00D525A4">
        <w:rPr>
          <w:rStyle w:val="CharSectno"/>
        </w:rPr>
        <w:t>3</w:t>
      </w:r>
      <w:r w:rsidR="00D525A4">
        <w:rPr>
          <w:rStyle w:val="CharSectno"/>
        </w:rPr>
        <w:noBreakHyphen/>
      </w:r>
      <w:r w:rsidRPr="00D525A4">
        <w:rPr>
          <w:rStyle w:val="CharSectno"/>
        </w:rPr>
        <w:t>33</w:t>
      </w:r>
      <w:r w:rsidR="009D2EB0" w:rsidRPr="00D525A4">
        <w:t xml:space="preserve">  Spent convictions</w:t>
      </w:r>
      <w:bookmarkEnd w:id="71"/>
    </w:p>
    <w:p w14:paraId="67FF86BA" w14:textId="77777777" w:rsidR="009D2EB0" w:rsidRPr="00D525A4" w:rsidRDefault="009D2EB0" w:rsidP="009D2EB0">
      <w:pPr>
        <w:pStyle w:val="subsection"/>
      </w:pPr>
      <w:r w:rsidRPr="00D525A4">
        <w:tab/>
      </w:r>
      <w:r w:rsidRPr="00D525A4">
        <w:tab/>
        <w:t xml:space="preserve">Nothing in this Part affects the operation of Part VIIC of the </w:t>
      </w:r>
      <w:r w:rsidRPr="00D525A4">
        <w:rPr>
          <w:i/>
          <w:iCs/>
        </w:rPr>
        <w:t>Crimes Act 1914</w:t>
      </w:r>
      <w:r w:rsidRPr="00D525A4">
        <w:t xml:space="preserve"> (which includes provisions that, in certain circumstances, relieve persons from the requirement to disclose spent convictions and require persons aware of such convictions to disregard them).</w:t>
      </w:r>
    </w:p>
    <w:p w14:paraId="10630BDB" w14:textId="0CB49170" w:rsidR="00D86399" w:rsidRPr="00D525A4" w:rsidRDefault="00606BBD" w:rsidP="00D86399">
      <w:pPr>
        <w:pStyle w:val="ActHead2"/>
        <w:pageBreakBefore/>
      </w:pPr>
      <w:bookmarkStart w:id="72" w:name="_Toc198224961"/>
      <w:r w:rsidRPr="00D525A4">
        <w:rPr>
          <w:rStyle w:val="CharPartNo"/>
        </w:rPr>
        <w:lastRenderedPageBreak/>
        <w:t>Part </w:t>
      </w:r>
      <w:r w:rsidR="00AB693F" w:rsidRPr="00D525A4">
        <w:rPr>
          <w:rStyle w:val="CharPartNo"/>
        </w:rPr>
        <w:t>4</w:t>
      </w:r>
      <w:r w:rsidR="00D86399" w:rsidRPr="00D525A4">
        <w:t>—</w:t>
      </w:r>
      <w:r w:rsidR="00D86399" w:rsidRPr="00D525A4">
        <w:rPr>
          <w:rStyle w:val="CharPartText"/>
        </w:rPr>
        <w:t>AML/CTF programs</w:t>
      </w:r>
      <w:bookmarkEnd w:id="72"/>
    </w:p>
    <w:p w14:paraId="42CA8755" w14:textId="264FF7E5" w:rsidR="00596AB4" w:rsidRPr="00D525A4" w:rsidRDefault="00270E8B" w:rsidP="00596AB4">
      <w:pPr>
        <w:pStyle w:val="ActHead3"/>
      </w:pPr>
      <w:bookmarkStart w:id="73" w:name="_Toc198224962"/>
      <w:r w:rsidRPr="00D525A4">
        <w:rPr>
          <w:rStyle w:val="CharDivNo"/>
        </w:rPr>
        <w:t>Division 1</w:t>
      </w:r>
      <w:r w:rsidR="00596AB4" w:rsidRPr="00D525A4">
        <w:t>—</w:t>
      </w:r>
      <w:r w:rsidR="00596AB4" w:rsidRPr="00D525A4">
        <w:rPr>
          <w:rStyle w:val="CharDivText"/>
        </w:rPr>
        <w:t>ML/TF risk assessment</w:t>
      </w:r>
      <w:bookmarkEnd w:id="73"/>
    </w:p>
    <w:p w14:paraId="6EB69940" w14:textId="218E6C1F" w:rsidR="00596AB4" w:rsidRPr="00D525A4" w:rsidRDefault="00EC097E" w:rsidP="00596AB4">
      <w:pPr>
        <w:pStyle w:val="ActHead5"/>
      </w:pPr>
      <w:bookmarkStart w:id="74" w:name="_Toc198224963"/>
      <w:r w:rsidRPr="00D525A4">
        <w:rPr>
          <w:rStyle w:val="CharSectno"/>
        </w:rPr>
        <w:t>4</w:t>
      </w:r>
      <w:r w:rsidR="00D525A4">
        <w:rPr>
          <w:rStyle w:val="CharSectno"/>
        </w:rPr>
        <w:noBreakHyphen/>
      </w:r>
      <w:r w:rsidRPr="00D525A4">
        <w:rPr>
          <w:rStyle w:val="CharSectno"/>
        </w:rPr>
        <w:t>1</w:t>
      </w:r>
      <w:r w:rsidR="00596AB4" w:rsidRPr="00D525A4">
        <w:t xml:space="preserve">  Review of ML/TF risk assessment</w:t>
      </w:r>
      <w:bookmarkEnd w:id="74"/>
    </w:p>
    <w:p w14:paraId="6E221020" w14:textId="3E70D33B" w:rsidR="00596AB4" w:rsidRPr="00D525A4" w:rsidRDefault="00596AB4" w:rsidP="00596AB4">
      <w:pPr>
        <w:pStyle w:val="subsection"/>
      </w:pPr>
      <w:r w:rsidRPr="00D525A4">
        <w:tab/>
        <w:t>(1)</w:t>
      </w:r>
      <w:r w:rsidRPr="00D525A4">
        <w:tab/>
        <w:t xml:space="preserve">For the purposes of </w:t>
      </w:r>
      <w:r w:rsidR="0010391B" w:rsidRPr="00D525A4">
        <w:t>sub</w:t>
      </w:r>
      <w:r w:rsidR="009F59ED" w:rsidRPr="00D525A4">
        <w:t>paragraph 2</w:t>
      </w:r>
      <w:r w:rsidRPr="00D525A4">
        <w:t>6D(1)(a)(iii) of the Act, a reporting entity must review its ML/TF risk assessment if an independent evaluation report contains adverse findings in relation to the ML/TF risk assessment.</w:t>
      </w:r>
    </w:p>
    <w:p w14:paraId="2BD1A0C6" w14:textId="6ADD389D" w:rsidR="00596AB4" w:rsidRPr="00D525A4" w:rsidRDefault="00596AB4" w:rsidP="00596AB4">
      <w:pPr>
        <w:pStyle w:val="subsection"/>
      </w:pPr>
      <w:r w:rsidRPr="00D525A4">
        <w:tab/>
        <w:t>(2)</w:t>
      </w:r>
      <w:r w:rsidRPr="00D525A4">
        <w:tab/>
        <w:t xml:space="preserve">For the purposes of </w:t>
      </w:r>
      <w:r w:rsidR="009F59ED" w:rsidRPr="00D525A4">
        <w:t>paragraph 2</w:t>
      </w:r>
      <w:r w:rsidRPr="00D525A4">
        <w:t>6D(2)(d) of the Act, the review must be undertaken as soon as practicable after the governing body of the reporting entity receives the independent evaluation report.</w:t>
      </w:r>
    </w:p>
    <w:p w14:paraId="24119D3B" w14:textId="6AF3AB3F" w:rsidR="00596AB4" w:rsidRPr="00D525A4" w:rsidRDefault="00270E8B" w:rsidP="00596AB4">
      <w:pPr>
        <w:pStyle w:val="ActHead3"/>
        <w:pageBreakBefore/>
      </w:pPr>
      <w:bookmarkStart w:id="75" w:name="_Toc198224964"/>
      <w:r w:rsidRPr="00D525A4">
        <w:rPr>
          <w:rStyle w:val="CharDivNo"/>
        </w:rPr>
        <w:lastRenderedPageBreak/>
        <w:t>Division 2</w:t>
      </w:r>
      <w:r w:rsidR="00596AB4" w:rsidRPr="00D525A4">
        <w:t>—</w:t>
      </w:r>
      <w:r w:rsidR="00596AB4" w:rsidRPr="00D525A4">
        <w:rPr>
          <w:rStyle w:val="CharDivText"/>
        </w:rPr>
        <w:t>AML/CTF policies</w:t>
      </w:r>
      <w:bookmarkEnd w:id="75"/>
    </w:p>
    <w:p w14:paraId="130687B9" w14:textId="0797E8FA" w:rsidR="009B152C" w:rsidRPr="00D525A4" w:rsidRDefault="00EC097E" w:rsidP="009B152C">
      <w:pPr>
        <w:pStyle w:val="ActHead5"/>
      </w:pPr>
      <w:bookmarkStart w:id="76" w:name="_Toc198224965"/>
      <w:r w:rsidRPr="00D525A4">
        <w:rPr>
          <w:rStyle w:val="CharSectno"/>
        </w:rPr>
        <w:t>4</w:t>
      </w:r>
      <w:r w:rsidR="00D525A4">
        <w:rPr>
          <w:rStyle w:val="CharSectno"/>
        </w:rPr>
        <w:noBreakHyphen/>
      </w:r>
      <w:r w:rsidRPr="00D525A4">
        <w:rPr>
          <w:rStyle w:val="CharSectno"/>
        </w:rPr>
        <w:t>2</w:t>
      </w:r>
      <w:r w:rsidR="009B152C" w:rsidRPr="00D525A4">
        <w:t xml:space="preserve">  Prevention of tipping off</w:t>
      </w:r>
      <w:bookmarkEnd w:id="76"/>
    </w:p>
    <w:p w14:paraId="7C917A87" w14:textId="652EBBC0" w:rsidR="009B152C" w:rsidRPr="00D525A4" w:rsidRDefault="009B152C" w:rsidP="009B152C">
      <w:pPr>
        <w:pStyle w:val="subsection"/>
      </w:pPr>
      <w:r w:rsidRPr="00D525A4">
        <w:tab/>
      </w:r>
      <w:r w:rsidRPr="00D525A4">
        <w:tab/>
        <w:t xml:space="preserve">For the purposes of </w:t>
      </w:r>
      <w:r w:rsidR="009F59ED" w:rsidRPr="00D525A4">
        <w:t>paragraph 2</w:t>
      </w:r>
      <w:r w:rsidRPr="00D525A4">
        <w:t xml:space="preserve">6F(4)(g) of the Act, the AML/CTF policies of a reporting entity must deal with establishing safeguards to prevent any contravention of </w:t>
      </w:r>
      <w:r w:rsidR="0013261E" w:rsidRPr="00D525A4">
        <w:t>subsection 1</w:t>
      </w:r>
      <w:r w:rsidRPr="00D525A4">
        <w:t>23(1) of the Act by the reporting entity or an officer, employee or agent of the reporting entity, including by ensuring the confidentiality and appropriate use of information disclosed by the reporting entity to persons employed or otherwise engaged by the reporting entity.</w:t>
      </w:r>
    </w:p>
    <w:p w14:paraId="514861A7" w14:textId="6D7503EC" w:rsidR="00596AB4" w:rsidRPr="00D525A4" w:rsidRDefault="00EC097E" w:rsidP="00596AB4">
      <w:pPr>
        <w:pStyle w:val="ActHead5"/>
      </w:pPr>
      <w:bookmarkStart w:id="77" w:name="_Toc198224966"/>
      <w:r w:rsidRPr="00D525A4">
        <w:rPr>
          <w:rStyle w:val="CharSectno"/>
        </w:rPr>
        <w:t>4</w:t>
      </w:r>
      <w:r w:rsidR="00D525A4">
        <w:rPr>
          <w:rStyle w:val="CharSectno"/>
        </w:rPr>
        <w:noBreakHyphen/>
      </w:r>
      <w:r w:rsidRPr="00D525A4">
        <w:rPr>
          <w:rStyle w:val="CharSectno"/>
        </w:rPr>
        <w:t>3</w:t>
      </w:r>
      <w:r w:rsidR="00596AB4" w:rsidRPr="00D525A4">
        <w:t xml:space="preserve">  Provision of information to governing body</w:t>
      </w:r>
      <w:bookmarkEnd w:id="77"/>
    </w:p>
    <w:p w14:paraId="60D73508" w14:textId="20ACC539" w:rsidR="00596AB4" w:rsidRPr="00D525A4" w:rsidRDefault="00596AB4" w:rsidP="00596AB4">
      <w:pPr>
        <w:pStyle w:val="subsection"/>
      </w:pPr>
      <w:r w:rsidRPr="00D525A4">
        <w:tab/>
      </w:r>
      <w:r w:rsidRPr="00D525A4">
        <w:tab/>
        <w:t xml:space="preserve">For the purposes of </w:t>
      </w:r>
      <w:r w:rsidR="009F59ED" w:rsidRPr="00D525A4">
        <w:t>paragraph 2</w:t>
      </w:r>
      <w:r w:rsidRPr="00D525A4">
        <w:t xml:space="preserve">6F(4)(g) of the Act, the AML/CTF policies of a reporting entity must deal with the provision of information to the governing body of the reporting entity to enable the governing body to fulfil its responsibilities under </w:t>
      </w:r>
      <w:r w:rsidR="0010391B" w:rsidRPr="00D525A4">
        <w:t>subsection 2</w:t>
      </w:r>
      <w:r w:rsidRPr="00D525A4">
        <w:t>6H(1) of the Act.</w:t>
      </w:r>
    </w:p>
    <w:p w14:paraId="3B1A6D4A" w14:textId="595EABCD" w:rsidR="00596AB4" w:rsidRPr="00D525A4" w:rsidRDefault="00EC097E" w:rsidP="00596AB4">
      <w:pPr>
        <w:pStyle w:val="ActHead5"/>
      </w:pPr>
      <w:bookmarkStart w:id="78" w:name="_Toc198224967"/>
      <w:r w:rsidRPr="00D525A4">
        <w:rPr>
          <w:rStyle w:val="CharSectno"/>
        </w:rPr>
        <w:t>4</w:t>
      </w:r>
      <w:r w:rsidR="00D525A4">
        <w:rPr>
          <w:rStyle w:val="CharSectno"/>
        </w:rPr>
        <w:noBreakHyphen/>
      </w:r>
      <w:r w:rsidRPr="00D525A4">
        <w:rPr>
          <w:rStyle w:val="CharSectno"/>
        </w:rPr>
        <w:t>4</w:t>
      </w:r>
      <w:r w:rsidR="00596AB4" w:rsidRPr="00D525A4">
        <w:t xml:space="preserve">  Reporting from AML/CTF compliance officer to governing body</w:t>
      </w:r>
      <w:bookmarkEnd w:id="78"/>
    </w:p>
    <w:p w14:paraId="5075B2DC" w14:textId="05F506FB" w:rsidR="001E7317" w:rsidRPr="00D525A4" w:rsidRDefault="001E7317" w:rsidP="001E7317">
      <w:pPr>
        <w:pStyle w:val="SubsectionHead"/>
      </w:pPr>
      <w:r w:rsidRPr="00D525A4">
        <w:t>Requirements</w:t>
      </w:r>
    </w:p>
    <w:p w14:paraId="7FDF939C" w14:textId="4CE583E7" w:rsidR="00596AB4" w:rsidRPr="00D525A4" w:rsidRDefault="00596AB4" w:rsidP="00596AB4">
      <w:pPr>
        <w:pStyle w:val="subsection"/>
      </w:pPr>
      <w:r w:rsidRPr="00D525A4">
        <w:tab/>
        <w:t>(1)</w:t>
      </w:r>
      <w:r w:rsidRPr="00D525A4">
        <w:tab/>
        <w:t xml:space="preserve">For the purposes of </w:t>
      </w:r>
      <w:r w:rsidR="009F59ED" w:rsidRPr="00D525A4">
        <w:t>paragraph 2</w:t>
      </w:r>
      <w:r w:rsidRPr="00D525A4">
        <w:t xml:space="preserve">6F(4)(g) of the Act, the AML/CTF policies of a reporting entity must deal with ensuring its governing body receives </w:t>
      </w:r>
      <w:r w:rsidR="00B64FA0" w:rsidRPr="00D525A4">
        <w:t>reports</w:t>
      </w:r>
      <w:r w:rsidRPr="00D525A4">
        <w:t xml:space="preserve"> from its AML/CTF compliance officer about the following matters:</w:t>
      </w:r>
    </w:p>
    <w:p w14:paraId="3F2EBECF" w14:textId="77777777" w:rsidR="00596AB4" w:rsidRPr="00D525A4" w:rsidRDefault="00596AB4" w:rsidP="00596AB4">
      <w:pPr>
        <w:pStyle w:val="paragraph"/>
      </w:pPr>
      <w:r w:rsidRPr="00D525A4">
        <w:tab/>
        <w:t>(a)</w:t>
      </w:r>
      <w:r w:rsidRPr="00D525A4">
        <w:tab/>
        <w:t>the reporting entity’s compliance with its AML/CTF policies;</w:t>
      </w:r>
    </w:p>
    <w:p w14:paraId="7F5ADDD7" w14:textId="77777777" w:rsidR="00596AB4" w:rsidRPr="00D525A4" w:rsidRDefault="00596AB4" w:rsidP="00596AB4">
      <w:pPr>
        <w:pStyle w:val="paragraph"/>
      </w:pPr>
      <w:r w:rsidRPr="00D525A4">
        <w:tab/>
        <w:t>(b)</w:t>
      </w:r>
      <w:r w:rsidRPr="00D525A4">
        <w:tab/>
        <w:t>the extent to which the reporting entity’s AML/CTF policies are appropriately managing and mitigating the risks of money laundering, financing of terrorism and proliferation financing that the reporting entity may reasonably face in providing its designated services;</w:t>
      </w:r>
    </w:p>
    <w:p w14:paraId="5BFD8EB8" w14:textId="77777777" w:rsidR="00596AB4" w:rsidRPr="00D525A4" w:rsidRDefault="00596AB4" w:rsidP="00596AB4">
      <w:pPr>
        <w:pStyle w:val="paragraph"/>
      </w:pPr>
      <w:r w:rsidRPr="00D525A4">
        <w:tab/>
        <w:t>(c)</w:t>
      </w:r>
      <w:r w:rsidRPr="00D525A4">
        <w:tab/>
        <w:t>the reporting entity’s compliance with the Act, the regulations and the AML/CTF Rules.</w:t>
      </w:r>
    </w:p>
    <w:p w14:paraId="29590E60" w14:textId="5CB9782F" w:rsidR="00596AB4" w:rsidRPr="00D525A4" w:rsidRDefault="00596AB4" w:rsidP="00596AB4">
      <w:pPr>
        <w:pStyle w:val="subsection"/>
      </w:pPr>
      <w:r w:rsidRPr="00D525A4">
        <w:tab/>
        <w:t>(2)</w:t>
      </w:r>
      <w:r w:rsidRPr="00D525A4">
        <w:tab/>
        <w:t xml:space="preserve">The AML/CTF policies of a reporting entity must provide for the reporting mentioned in </w:t>
      </w:r>
      <w:r w:rsidR="009F59ED" w:rsidRPr="00D525A4">
        <w:t>subsection (</w:t>
      </w:r>
      <w:r w:rsidRPr="00D525A4">
        <w:t>1) to occur regularly, with a frequency of at least once every 12 months.</w:t>
      </w:r>
    </w:p>
    <w:p w14:paraId="54E63A9B" w14:textId="426CB8B0" w:rsidR="001E7317" w:rsidRPr="00D525A4" w:rsidRDefault="001E7317" w:rsidP="001E7317">
      <w:pPr>
        <w:pStyle w:val="SubsectionHead"/>
      </w:pPr>
      <w:r w:rsidRPr="00D525A4">
        <w:t>Exception</w:t>
      </w:r>
    </w:p>
    <w:p w14:paraId="047A6B10" w14:textId="526071E2" w:rsidR="007E098D" w:rsidRPr="00D525A4" w:rsidRDefault="007E098D" w:rsidP="00596AB4">
      <w:pPr>
        <w:pStyle w:val="subsection"/>
      </w:pPr>
      <w:r w:rsidRPr="00D525A4">
        <w:tab/>
        <w:t>(3)</w:t>
      </w:r>
      <w:r w:rsidRPr="00D525A4">
        <w:tab/>
      </w:r>
      <w:r w:rsidR="00FE1FDA" w:rsidRPr="00D525A4">
        <w:t>Subsections (</w:t>
      </w:r>
      <w:r w:rsidRPr="00D525A4">
        <w:t>1) and (2) do not apply to a reporting entity if:</w:t>
      </w:r>
    </w:p>
    <w:p w14:paraId="359676EF" w14:textId="4E9B15D0" w:rsidR="007E098D" w:rsidRPr="00D525A4" w:rsidRDefault="007E098D" w:rsidP="007E098D">
      <w:pPr>
        <w:pStyle w:val="paragraph"/>
      </w:pPr>
      <w:r w:rsidRPr="00D525A4">
        <w:tab/>
        <w:t>(a)</w:t>
      </w:r>
      <w:r w:rsidRPr="00D525A4">
        <w:tab/>
        <w:t>the reporting entity is an individual; or</w:t>
      </w:r>
    </w:p>
    <w:p w14:paraId="55007791" w14:textId="66298190" w:rsidR="007E098D" w:rsidRPr="00D525A4" w:rsidRDefault="007E098D" w:rsidP="007E098D">
      <w:pPr>
        <w:pStyle w:val="paragraph"/>
      </w:pPr>
      <w:r w:rsidRPr="00D525A4">
        <w:tab/>
        <w:t>(b)</w:t>
      </w:r>
      <w:r w:rsidRPr="00D525A4">
        <w:tab/>
        <w:t xml:space="preserve">the </w:t>
      </w:r>
      <w:r w:rsidR="001E7317" w:rsidRPr="00D525A4">
        <w:t>AML/CTF compliance officer of the reporting entity is the same individual who is the governing body of the reporting entity.</w:t>
      </w:r>
    </w:p>
    <w:p w14:paraId="29E2264A" w14:textId="08BA1948" w:rsidR="00596AB4" w:rsidRPr="00D525A4" w:rsidRDefault="00EC097E" w:rsidP="00596AB4">
      <w:pPr>
        <w:pStyle w:val="ActHead5"/>
      </w:pPr>
      <w:bookmarkStart w:id="79" w:name="_Toc198224968"/>
      <w:r w:rsidRPr="00D525A4">
        <w:rPr>
          <w:rStyle w:val="CharSectno"/>
        </w:rPr>
        <w:t>4</w:t>
      </w:r>
      <w:r w:rsidR="00D525A4">
        <w:rPr>
          <w:rStyle w:val="CharSectno"/>
        </w:rPr>
        <w:noBreakHyphen/>
      </w:r>
      <w:r w:rsidRPr="00D525A4">
        <w:rPr>
          <w:rStyle w:val="CharSectno"/>
        </w:rPr>
        <w:t>5</w:t>
      </w:r>
      <w:r w:rsidR="00596AB4" w:rsidRPr="00D525A4">
        <w:t xml:space="preserve">  Undertaking personnel due diligence</w:t>
      </w:r>
      <w:bookmarkEnd w:id="79"/>
    </w:p>
    <w:p w14:paraId="63E3BE93" w14:textId="05FCE0CE" w:rsidR="00596AB4" w:rsidRPr="00D525A4" w:rsidRDefault="00596AB4" w:rsidP="00596AB4">
      <w:pPr>
        <w:pStyle w:val="subsection"/>
      </w:pPr>
      <w:r w:rsidRPr="00D525A4">
        <w:tab/>
        <w:t>(1)</w:t>
      </w:r>
      <w:r w:rsidRPr="00D525A4">
        <w:tab/>
        <w:t xml:space="preserve">For the purposes of </w:t>
      </w:r>
      <w:r w:rsidR="009F59ED" w:rsidRPr="00D525A4">
        <w:t>paragraph 2</w:t>
      </w:r>
      <w:r w:rsidRPr="00D525A4">
        <w:t xml:space="preserve">6F(7)(a) of the Act, this section specifies requirements in relation to the matter mentioned in </w:t>
      </w:r>
      <w:r w:rsidR="009F59ED" w:rsidRPr="00D525A4">
        <w:t>paragraph 2</w:t>
      </w:r>
      <w:r w:rsidRPr="00D525A4">
        <w:t>6F(4)(d) of the Act (undertaking due diligence in relation to persons who are, or will be, employed or otherwise engaged by the reporting entity).</w:t>
      </w:r>
    </w:p>
    <w:p w14:paraId="3312E824" w14:textId="465273F8" w:rsidR="00596AB4" w:rsidRPr="00D525A4" w:rsidRDefault="00596AB4" w:rsidP="00596AB4">
      <w:pPr>
        <w:pStyle w:val="subsection"/>
      </w:pPr>
      <w:r w:rsidRPr="00D525A4">
        <w:lastRenderedPageBreak/>
        <w:tab/>
        <w:t>(2)</w:t>
      </w:r>
      <w:r w:rsidRPr="00D525A4">
        <w:tab/>
        <w:t>The AML/CTF policies of the reporting entity must require the reporting entity, as part of undertaking that due diligence, to assess, both before a person’s employment or engagement and during a person’s employment or engagement:</w:t>
      </w:r>
    </w:p>
    <w:p w14:paraId="776085A4" w14:textId="77777777" w:rsidR="00596AB4" w:rsidRPr="00D525A4" w:rsidRDefault="00596AB4" w:rsidP="00596AB4">
      <w:pPr>
        <w:pStyle w:val="paragraph"/>
      </w:pPr>
      <w:r w:rsidRPr="00D525A4">
        <w:tab/>
        <w:t>(a)</w:t>
      </w:r>
      <w:r w:rsidRPr="00D525A4">
        <w:tab/>
        <w:t>the person’s skills, knowledge and expertise relevant to the particular responsibilities of the person under the AML/CTF policies; and</w:t>
      </w:r>
    </w:p>
    <w:p w14:paraId="4CF3D93E" w14:textId="77777777" w:rsidR="00596AB4" w:rsidRPr="00D525A4" w:rsidRDefault="00596AB4" w:rsidP="00596AB4">
      <w:pPr>
        <w:pStyle w:val="paragraph"/>
      </w:pPr>
      <w:r w:rsidRPr="00D525A4">
        <w:tab/>
        <w:t>(b)</w:t>
      </w:r>
      <w:r w:rsidRPr="00D525A4">
        <w:tab/>
        <w:t>the person’s integrity.</w:t>
      </w:r>
    </w:p>
    <w:p w14:paraId="41E1F252" w14:textId="492DB882" w:rsidR="00596AB4" w:rsidRPr="00D525A4" w:rsidRDefault="00EC097E" w:rsidP="00596AB4">
      <w:pPr>
        <w:pStyle w:val="ActHead5"/>
      </w:pPr>
      <w:bookmarkStart w:id="80" w:name="_Toc198224969"/>
      <w:r w:rsidRPr="00D525A4">
        <w:rPr>
          <w:rStyle w:val="CharSectno"/>
        </w:rPr>
        <w:t>4</w:t>
      </w:r>
      <w:r w:rsidR="00D525A4">
        <w:rPr>
          <w:rStyle w:val="CharSectno"/>
        </w:rPr>
        <w:noBreakHyphen/>
      </w:r>
      <w:r w:rsidRPr="00D525A4">
        <w:rPr>
          <w:rStyle w:val="CharSectno"/>
        </w:rPr>
        <w:t>6</w:t>
      </w:r>
      <w:r w:rsidR="00596AB4" w:rsidRPr="00D525A4">
        <w:t xml:space="preserve">  Providing personnel training</w:t>
      </w:r>
      <w:bookmarkEnd w:id="80"/>
    </w:p>
    <w:p w14:paraId="141A029E" w14:textId="249A2BF1" w:rsidR="00596AB4" w:rsidRPr="00D525A4" w:rsidRDefault="00596AB4" w:rsidP="00596AB4">
      <w:pPr>
        <w:pStyle w:val="subsection"/>
      </w:pPr>
      <w:r w:rsidRPr="00D525A4">
        <w:tab/>
        <w:t>(1)</w:t>
      </w:r>
      <w:r w:rsidRPr="00D525A4">
        <w:tab/>
        <w:t xml:space="preserve">For the purposes of </w:t>
      </w:r>
      <w:r w:rsidR="009F59ED" w:rsidRPr="00D525A4">
        <w:t>paragraph 2</w:t>
      </w:r>
      <w:r w:rsidRPr="00D525A4">
        <w:t xml:space="preserve">6F(7)(a) of the Act, this section specifies requirements in relation to the matter mentioned in </w:t>
      </w:r>
      <w:r w:rsidR="009F59ED" w:rsidRPr="00D525A4">
        <w:t>paragraph 2</w:t>
      </w:r>
      <w:r w:rsidRPr="00D525A4">
        <w:t>6F(4)(e) of the Act (providing training to persons who are employed or otherwise engaged by the reporting entity).</w:t>
      </w:r>
    </w:p>
    <w:p w14:paraId="44E31E2C" w14:textId="77777777" w:rsidR="00596AB4" w:rsidRPr="00D525A4" w:rsidRDefault="00596AB4" w:rsidP="00596AB4">
      <w:pPr>
        <w:pStyle w:val="subsection"/>
      </w:pPr>
      <w:r w:rsidRPr="00D525A4">
        <w:tab/>
        <w:t>(2)</w:t>
      </w:r>
      <w:r w:rsidRPr="00D525A4">
        <w:tab/>
        <w:t>The AML/CTF policies of the reporting entity must deal with both initial training upon a person’s employment or engagement and ongoing training during a person’s employment or engagement.</w:t>
      </w:r>
    </w:p>
    <w:p w14:paraId="58094F5B" w14:textId="77777777" w:rsidR="00596AB4" w:rsidRPr="00D525A4" w:rsidRDefault="00596AB4" w:rsidP="00596AB4">
      <w:pPr>
        <w:pStyle w:val="subsection"/>
      </w:pPr>
      <w:r w:rsidRPr="00D525A4">
        <w:tab/>
        <w:t>(3)</w:t>
      </w:r>
      <w:r w:rsidRPr="00D525A4">
        <w:tab/>
        <w:t>The AML/CTF policies of the reporting entity must require that the training provided to a person:</w:t>
      </w:r>
    </w:p>
    <w:p w14:paraId="783639EF" w14:textId="77777777" w:rsidR="00596AB4" w:rsidRPr="00D525A4" w:rsidRDefault="00596AB4" w:rsidP="00596AB4">
      <w:pPr>
        <w:pStyle w:val="paragraph"/>
      </w:pPr>
      <w:r w:rsidRPr="00D525A4">
        <w:tab/>
        <w:t>(a)</w:t>
      </w:r>
      <w:r w:rsidRPr="00D525A4">
        <w:tab/>
        <w:t>is appropriate having regard to:</w:t>
      </w:r>
    </w:p>
    <w:p w14:paraId="53598AE5" w14:textId="77777777" w:rsidR="00596AB4" w:rsidRPr="00D525A4" w:rsidRDefault="00596AB4" w:rsidP="00596AB4">
      <w:pPr>
        <w:pStyle w:val="paragraphsub"/>
      </w:pPr>
      <w:r w:rsidRPr="00D525A4">
        <w:tab/>
        <w:t>(i)</w:t>
      </w:r>
      <w:r w:rsidRPr="00D525A4">
        <w:tab/>
        <w:t>the particular function performed by the person; and</w:t>
      </w:r>
    </w:p>
    <w:p w14:paraId="2D3263CF" w14:textId="77777777" w:rsidR="00596AB4" w:rsidRPr="00D525A4" w:rsidRDefault="00596AB4" w:rsidP="00596AB4">
      <w:pPr>
        <w:pStyle w:val="paragraphsub"/>
      </w:pPr>
      <w:r w:rsidRPr="00D525A4">
        <w:tab/>
        <w:t>(ii)</w:t>
      </w:r>
      <w:r w:rsidRPr="00D525A4">
        <w:tab/>
        <w:t>the particular risks of money laundering, financing of terrorism and proliferation financing that are relevant to the person’s function; and</w:t>
      </w:r>
    </w:p>
    <w:p w14:paraId="012BD644" w14:textId="77777777" w:rsidR="00596AB4" w:rsidRPr="00D525A4" w:rsidRDefault="00596AB4" w:rsidP="00596AB4">
      <w:pPr>
        <w:pStyle w:val="paragraphsub"/>
      </w:pPr>
      <w:r w:rsidRPr="00D525A4">
        <w:tab/>
        <w:t>(iii)</w:t>
      </w:r>
      <w:r w:rsidRPr="00D525A4">
        <w:tab/>
        <w:t>the particular responsibilities of the person under the AML/CTF policies; and</w:t>
      </w:r>
    </w:p>
    <w:p w14:paraId="09C7AEEC" w14:textId="77777777" w:rsidR="00596AB4" w:rsidRPr="00D525A4" w:rsidRDefault="00596AB4" w:rsidP="00596AB4">
      <w:pPr>
        <w:pStyle w:val="paragraph"/>
      </w:pPr>
      <w:r w:rsidRPr="00D525A4">
        <w:tab/>
        <w:t>(b)</w:t>
      </w:r>
      <w:r w:rsidRPr="00D525A4">
        <w:tab/>
        <w:t>is readily understandable by the person.</w:t>
      </w:r>
    </w:p>
    <w:p w14:paraId="4C8E3A66" w14:textId="4E8D3EF2" w:rsidR="00596AB4" w:rsidRPr="00D525A4" w:rsidRDefault="00EC097E" w:rsidP="00596AB4">
      <w:pPr>
        <w:pStyle w:val="ActHead5"/>
      </w:pPr>
      <w:bookmarkStart w:id="81" w:name="_Toc198224970"/>
      <w:r w:rsidRPr="00D525A4">
        <w:rPr>
          <w:rStyle w:val="CharSectno"/>
        </w:rPr>
        <w:t>4</w:t>
      </w:r>
      <w:r w:rsidR="00D525A4">
        <w:rPr>
          <w:rStyle w:val="CharSectno"/>
        </w:rPr>
        <w:noBreakHyphen/>
      </w:r>
      <w:r w:rsidRPr="00D525A4">
        <w:rPr>
          <w:rStyle w:val="CharSectno"/>
        </w:rPr>
        <w:t>7</w:t>
      </w:r>
      <w:r w:rsidR="00596AB4" w:rsidRPr="00D525A4">
        <w:t xml:space="preserve">  Independent evaluations</w:t>
      </w:r>
      <w:bookmarkEnd w:id="81"/>
    </w:p>
    <w:p w14:paraId="076335E9" w14:textId="77B03C16" w:rsidR="00596AB4" w:rsidRPr="00D525A4" w:rsidRDefault="00596AB4" w:rsidP="00596AB4">
      <w:pPr>
        <w:pStyle w:val="subsection"/>
      </w:pPr>
      <w:r w:rsidRPr="00D525A4">
        <w:tab/>
        <w:t>(1)</w:t>
      </w:r>
      <w:r w:rsidRPr="00D525A4">
        <w:tab/>
        <w:t xml:space="preserve">For the purposes of </w:t>
      </w:r>
      <w:r w:rsidR="009F59ED" w:rsidRPr="00D525A4">
        <w:t>paragraph 2</w:t>
      </w:r>
      <w:r w:rsidRPr="00D525A4">
        <w:t xml:space="preserve">6F(7)(a) of the Act, this section specifies requirements in relation to the matter mentioned in </w:t>
      </w:r>
      <w:r w:rsidR="009F59ED" w:rsidRPr="00D525A4">
        <w:t>paragraph 2</w:t>
      </w:r>
      <w:r w:rsidRPr="00D525A4">
        <w:t>6F(4)(f) of the Act (the conduct of independent evaluations of the reporting entity’s AML/CTF program).</w:t>
      </w:r>
    </w:p>
    <w:p w14:paraId="0417D529" w14:textId="77777777" w:rsidR="00596AB4" w:rsidRPr="00D525A4" w:rsidRDefault="00596AB4" w:rsidP="00596AB4">
      <w:pPr>
        <w:pStyle w:val="subsection"/>
      </w:pPr>
      <w:r w:rsidRPr="00D525A4">
        <w:tab/>
        <w:t>(2)</w:t>
      </w:r>
      <w:r w:rsidRPr="00D525A4">
        <w:tab/>
        <w:t>The AML/CTF policies of the reporting entity must require the following as part of the conduct of an independent evaluation:</w:t>
      </w:r>
    </w:p>
    <w:p w14:paraId="21592B23" w14:textId="77777777" w:rsidR="00596AB4" w:rsidRPr="00D525A4" w:rsidRDefault="00596AB4" w:rsidP="00596AB4">
      <w:pPr>
        <w:pStyle w:val="paragraph"/>
      </w:pPr>
      <w:r w:rsidRPr="00D525A4">
        <w:tab/>
        <w:t>(a)</w:t>
      </w:r>
      <w:r w:rsidRPr="00D525A4">
        <w:tab/>
        <w:t>evaluation of the steps taken by the reporting entity when undertaking or reviewing the reporting entity’s ML/TF risk assessment, against the requirements of the Act, the regulations and the AML/CTF Rules;</w:t>
      </w:r>
    </w:p>
    <w:p w14:paraId="74D89BC1" w14:textId="77777777" w:rsidR="00596AB4" w:rsidRPr="00D525A4" w:rsidRDefault="00596AB4" w:rsidP="00596AB4">
      <w:pPr>
        <w:pStyle w:val="paragraph"/>
      </w:pPr>
      <w:r w:rsidRPr="00D525A4">
        <w:tab/>
        <w:t>(b)</w:t>
      </w:r>
      <w:r w:rsidRPr="00D525A4">
        <w:tab/>
        <w:t>evaluation of the design of the reporting entity’s AML/CTF policies, against the requirements of the Act, the regulations and the AML/CTF Rules;</w:t>
      </w:r>
    </w:p>
    <w:p w14:paraId="34DC243D" w14:textId="19614153" w:rsidR="00596AB4" w:rsidRPr="00D525A4" w:rsidRDefault="00596AB4" w:rsidP="008E24DB">
      <w:pPr>
        <w:pStyle w:val="paragraph"/>
      </w:pPr>
      <w:r w:rsidRPr="00D525A4">
        <w:tab/>
        <w:t>(c)</w:t>
      </w:r>
      <w:r w:rsidRPr="00D525A4">
        <w:tab/>
        <w:t>testing and evaluation of</w:t>
      </w:r>
      <w:r w:rsidR="008E24DB" w:rsidRPr="00D525A4">
        <w:t xml:space="preserve"> </w:t>
      </w:r>
      <w:r w:rsidRPr="00D525A4">
        <w:t>the compliance of the reporting entity with the reporting entity’s AML/CTF policies;</w:t>
      </w:r>
    </w:p>
    <w:p w14:paraId="36E6505D" w14:textId="670EBCDF" w:rsidR="008E24DB" w:rsidRPr="00D525A4" w:rsidRDefault="008E24DB" w:rsidP="008E24DB">
      <w:pPr>
        <w:pStyle w:val="paragraph"/>
      </w:pPr>
      <w:r w:rsidRPr="00D525A4">
        <w:tab/>
        <w:t>(d)</w:t>
      </w:r>
      <w:r w:rsidRPr="00D525A4">
        <w:tab/>
        <w:t xml:space="preserve">testing and evaluation of </w:t>
      </w:r>
      <w:r w:rsidR="00A17399" w:rsidRPr="00D525A4">
        <w:t xml:space="preserve">whether the </w:t>
      </w:r>
      <w:r w:rsidRPr="00D525A4">
        <w:t xml:space="preserve">reporting entity </w:t>
      </w:r>
      <w:r w:rsidR="00A17399" w:rsidRPr="00D525A4">
        <w:t xml:space="preserve">is </w:t>
      </w:r>
      <w:r w:rsidRPr="00D525A4">
        <w:t xml:space="preserve">appropriately </w:t>
      </w:r>
      <w:bookmarkStart w:id="82" w:name="_Hlk198126083"/>
      <w:r w:rsidRPr="00D525A4">
        <w:t>identify</w:t>
      </w:r>
      <w:r w:rsidR="00A17399" w:rsidRPr="00D525A4">
        <w:t>ing</w:t>
      </w:r>
      <w:r w:rsidRPr="00D525A4">
        <w:t>, assess</w:t>
      </w:r>
      <w:r w:rsidR="00A17399" w:rsidRPr="00D525A4">
        <w:t>ing</w:t>
      </w:r>
      <w:r w:rsidRPr="00D525A4">
        <w:t>, mana</w:t>
      </w:r>
      <w:bookmarkEnd w:id="82"/>
      <w:r w:rsidR="00EE6F32" w:rsidRPr="00D525A4">
        <w:t>g</w:t>
      </w:r>
      <w:r w:rsidR="00A17399" w:rsidRPr="00D525A4">
        <w:t>ing</w:t>
      </w:r>
      <w:r w:rsidRPr="00D525A4">
        <w:t xml:space="preserve"> and mitigat</w:t>
      </w:r>
      <w:r w:rsidR="00A17399" w:rsidRPr="00D525A4">
        <w:t>ing</w:t>
      </w:r>
      <w:r w:rsidRPr="00D525A4">
        <w:t xml:space="preserve"> the risks of money laundering, financing of terrorism and proliferation financing that the reporting entity may reasonably face in providing its designated services;</w:t>
      </w:r>
    </w:p>
    <w:p w14:paraId="7C670C00" w14:textId="65266D68" w:rsidR="00596AB4" w:rsidRPr="00D525A4" w:rsidRDefault="00596AB4" w:rsidP="00596AB4">
      <w:pPr>
        <w:pStyle w:val="paragraph"/>
      </w:pPr>
      <w:r w:rsidRPr="00D525A4">
        <w:lastRenderedPageBreak/>
        <w:tab/>
        <w:t>(</w:t>
      </w:r>
      <w:r w:rsidR="008E24DB" w:rsidRPr="00D525A4">
        <w:t>e</w:t>
      </w:r>
      <w:r w:rsidRPr="00D525A4">
        <w:t>)</w:t>
      </w:r>
      <w:r w:rsidRPr="00D525A4">
        <w:tab/>
        <w:t xml:space="preserve">production of a written report (an </w:t>
      </w:r>
      <w:r w:rsidRPr="00D525A4">
        <w:rPr>
          <w:b/>
          <w:i/>
        </w:rPr>
        <w:t>independent evaluation report</w:t>
      </w:r>
      <w:r w:rsidRPr="00D525A4">
        <w:t xml:space="preserve">) containing findings on the matters mentioned in </w:t>
      </w:r>
      <w:r w:rsidR="0010391B" w:rsidRPr="00D525A4">
        <w:t>paragraphs (</w:t>
      </w:r>
      <w:r w:rsidRPr="00D525A4">
        <w:t>a) to (</w:t>
      </w:r>
      <w:r w:rsidR="008E24DB" w:rsidRPr="00D525A4">
        <w:t>d</w:t>
      </w:r>
      <w:r w:rsidRPr="00D525A4">
        <w:t>);</w:t>
      </w:r>
    </w:p>
    <w:p w14:paraId="18446605" w14:textId="73B2DFBA" w:rsidR="00596AB4" w:rsidRPr="00D525A4" w:rsidRDefault="00596AB4" w:rsidP="00596AB4">
      <w:pPr>
        <w:pStyle w:val="paragraph"/>
      </w:pPr>
      <w:r w:rsidRPr="00D525A4">
        <w:tab/>
        <w:t>(</w:t>
      </w:r>
      <w:r w:rsidR="008E24DB" w:rsidRPr="00D525A4">
        <w:t>f</w:t>
      </w:r>
      <w:r w:rsidRPr="00D525A4">
        <w:t>)</w:t>
      </w:r>
      <w:r w:rsidRPr="00D525A4">
        <w:tab/>
        <w:t xml:space="preserve">delivery of the independent evaluation report to the governing body of the reporting entity and to any senior manager responsible for approvals under </w:t>
      </w:r>
      <w:r w:rsidR="0010391B" w:rsidRPr="00D525A4">
        <w:t>section 2</w:t>
      </w:r>
      <w:r w:rsidRPr="00D525A4">
        <w:t>6P of the Act.</w:t>
      </w:r>
    </w:p>
    <w:p w14:paraId="130A97C6" w14:textId="491E2E2B" w:rsidR="00596AB4" w:rsidRPr="00D525A4" w:rsidRDefault="00596AB4" w:rsidP="00596AB4">
      <w:pPr>
        <w:pStyle w:val="subsection"/>
      </w:pPr>
      <w:r w:rsidRPr="00D525A4">
        <w:tab/>
        <w:t>(</w:t>
      </w:r>
      <w:r w:rsidR="00533617" w:rsidRPr="00D525A4">
        <w:t>3</w:t>
      </w:r>
      <w:r w:rsidRPr="00D525A4">
        <w:t>)</w:t>
      </w:r>
      <w:r w:rsidRPr="00D525A4">
        <w:tab/>
        <w:t>The AML/CTF polices of the reporting entity must deal with how the reporting entity will respond to an independent evaluation report.</w:t>
      </w:r>
    </w:p>
    <w:p w14:paraId="12EE453D" w14:textId="2D3A838C" w:rsidR="009B152C" w:rsidRPr="00D525A4" w:rsidRDefault="00EC097E" w:rsidP="009B152C">
      <w:pPr>
        <w:pStyle w:val="ActHead5"/>
      </w:pPr>
      <w:bookmarkStart w:id="83" w:name="_Toc198224971"/>
      <w:r w:rsidRPr="00D525A4">
        <w:rPr>
          <w:rStyle w:val="CharSectno"/>
        </w:rPr>
        <w:t>4</w:t>
      </w:r>
      <w:r w:rsidR="00D525A4">
        <w:rPr>
          <w:rStyle w:val="CharSectno"/>
        </w:rPr>
        <w:noBreakHyphen/>
      </w:r>
      <w:r w:rsidRPr="00D525A4">
        <w:rPr>
          <w:rStyle w:val="CharSectno"/>
        </w:rPr>
        <w:t>8</w:t>
      </w:r>
      <w:r w:rsidR="009B152C" w:rsidRPr="00D525A4">
        <w:t xml:space="preserve">  Reviewing and updating AML/CTF policies following independent evaluation</w:t>
      </w:r>
      <w:bookmarkEnd w:id="83"/>
    </w:p>
    <w:p w14:paraId="59E2E710" w14:textId="314CD205" w:rsidR="009B152C" w:rsidRPr="00D525A4" w:rsidRDefault="009B152C" w:rsidP="009B152C">
      <w:pPr>
        <w:pStyle w:val="subsection"/>
      </w:pPr>
      <w:r w:rsidRPr="00D525A4">
        <w:tab/>
      </w:r>
      <w:r w:rsidRPr="00D525A4">
        <w:tab/>
        <w:t xml:space="preserve">For the purposes of </w:t>
      </w:r>
      <w:r w:rsidR="0010391B" w:rsidRPr="00D525A4">
        <w:t>sub</w:t>
      </w:r>
      <w:r w:rsidR="009F59ED" w:rsidRPr="00D525A4">
        <w:t>paragraph 2</w:t>
      </w:r>
      <w:r w:rsidRPr="00D525A4">
        <w:t>6F(3)(c)(ii) of the Act, the AML/CTF policies of a reporting entity must deal with reviewing and updating the AML/CTF policies in response to</w:t>
      </w:r>
      <w:r w:rsidRPr="00D525A4">
        <w:rPr>
          <w:i/>
        </w:rPr>
        <w:t xml:space="preserve"> </w:t>
      </w:r>
      <w:r w:rsidRPr="00D525A4">
        <w:t>an independent evaluation report that contains adverse findings in relation to the AML/CTF policies.</w:t>
      </w:r>
    </w:p>
    <w:p w14:paraId="7EB0DB2E" w14:textId="69BB7D60" w:rsidR="009B152C" w:rsidRPr="00D525A4" w:rsidRDefault="00EC097E" w:rsidP="009B152C">
      <w:pPr>
        <w:pStyle w:val="ActHead5"/>
      </w:pPr>
      <w:bookmarkStart w:id="84" w:name="_Toc198224972"/>
      <w:r w:rsidRPr="00D525A4">
        <w:rPr>
          <w:rStyle w:val="CharSectno"/>
        </w:rPr>
        <w:t>4</w:t>
      </w:r>
      <w:r w:rsidR="00D525A4">
        <w:rPr>
          <w:rStyle w:val="CharSectno"/>
        </w:rPr>
        <w:noBreakHyphen/>
      </w:r>
      <w:r w:rsidRPr="00D525A4">
        <w:rPr>
          <w:rStyle w:val="CharSectno"/>
        </w:rPr>
        <w:t>9</w:t>
      </w:r>
      <w:r w:rsidR="009B152C" w:rsidRPr="00D525A4">
        <w:t xml:space="preserve">  Fulfilling reporting obligations</w:t>
      </w:r>
      <w:bookmarkEnd w:id="84"/>
    </w:p>
    <w:p w14:paraId="61D563F4" w14:textId="09EBC676" w:rsidR="009B152C" w:rsidRPr="00D525A4" w:rsidRDefault="009B152C" w:rsidP="009B152C">
      <w:pPr>
        <w:pStyle w:val="subsection"/>
      </w:pPr>
      <w:r w:rsidRPr="00D525A4">
        <w:tab/>
      </w:r>
      <w:r w:rsidRPr="00D525A4">
        <w:tab/>
        <w:t xml:space="preserve">For the purposes of </w:t>
      </w:r>
      <w:r w:rsidR="009F59ED" w:rsidRPr="00D525A4">
        <w:t>paragraph 2</w:t>
      </w:r>
      <w:r w:rsidRPr="00D525A4">
        <w:t>6F(4)(g) of the Act, the AML/CTF policies of a reporting entity must deal with ensuring that information reported by the entity under sections 41, 43, 46 and 46A of the Act is complete, accurate and free from unauthorised change.</w:t>
      </w:r>
    </w:p>
    <w:p w14:paraId="52686560" w14:textId="7A880EA3" w:rsidR="009B152C" w:rsidRPr="00D525A4" w:rsidRDefault="00EC097E" w:rsidP="009B152C">
      <w:pPr>
        <w:pStyle w:val="ActHead5"/>
      </w:pPr>
      <w:bookmarkStart w:id="85" w:name="_Toc198224973"/>
      <w:r w:rsidRPr="00D525A4">
        <w:rPr>
          <w:rStyle w:val="CharSectno"/>
        </w:rPr>
        <w:t>4</w:t>
      </w:r>
      <w:r w:rsidR="00D525A4">
        <w:rPr>
          <w:rStyle w:val="CharSectno"/>
        </w:rPr>
        <w:noBreakHyphen/>
      </w:r>
      <w:r w:rsidRPr="00D525A4">
        <w:rPr>
          <w:rStyle w:val="CharSectno"/>
        </w:rPr>
        <w:t>10</w:t>
      </w:r>
      <w:r w:rsidR="009B152C" w:rsidRPr="00D525A4">
        <w:t xml:space="preserve">  Assessment of potential suspicious matters</w:t>
      </w:r>
      <w:bookmarkEnd w:id="85"/>
    </w:p>
    <w:p w14:paraId="0A05F6A2" w14:textId="0FCAB150" w:rsidR="009B152C" w:rsidRPr="00D525A4" w:rsidRDefault="009B152C" w:rsidP="009B152C">
      <w:pPr>
        <w:pStyle w:val="subsection"/>
      </w:pPr>
      <w:r w:rsidRPr="00D525A4">
        <w:tab/>
      </w:r>
      <w:r w:rsidRPr="00D525A4">
        <w:tab/>
        <w:t xml:space="preserve">For the purposes of </w:t>
      </w:r>
      <w:r w:rsidR="009F59ED" w:rsidRPr="00D525A4">
        <w:t>paragraph 2</w:t>
      </w:r>
      <w:r w:rsidRPr="00D525A4">
        <w:t>6F(4)(g) of the Act, the AML/CTF policies of a reporting entity must deal with the following:</w:t>
      </w:r>
    </w:p>
    <w:p w14:paraId="21D367C4" w14:textId="2C6D4599" w:rsidR="009B152C" w:rsidRPr="00D525A4" w:rsidRDefault="009B152C" w:rsidP="009B152C">
      <w:pPr>
        <w:pStyle w:val="paragraph"/>
      </w:pPr>
      <w:r w:rsidRPr="00D525A4">
        <w:tab/>
        <w:t>(a)</w:t>
      </w:r>
      <w:r w:rsidRPr="00D525A4">
        <w:tab/>
        <w:t xml:space="preserve">enabling timely review of material that is relevant to matters that may need to be reported under </w:t>
      </w:r>
      <w:r w:rsidR="005C5E95" w:rsidRPr="00D525A4">
        <w:t>section 4</w:t>
      </w:r>
      <w:r w:rsidRPr="00D525A4">
        <w:t>1 of the Act;</w:t>
      </w:r>
    </w:p>
    <w:p w14:paraId="4640858C" w14:textId="77777777" w:rsidR="009B152C" w:rsidRPr="00D525A4" w:rsidRDefault="009B152C" w:rsidP="009B152C">
      <w:pPr>
        <w:pStyle w:val="paragraph"/>
      </w:pPr>
      <w:r w:rsidRPr="00D525A4">
        <w:tab/>
        <w:t>(b)</w:t>
      </w:r>
      <w:r w:rsidRPr="00D525A4">
        <w:tab/>
        <w:t>ensuring determination, as soon as practicable, of whether the reporting entity suspects on reasonable grounds any of the matters referred to in paragraphs 41(1)(d) to (j) of the Act.</w:t>
      </w:r>
    </w:p>
    <w:p w14:paraId="6E20E8F6" w14:textId="1F9B734D" w:rsidR="009B152C" w:rsidRPr="00D525A4" w:rsidRDefault="00EC097E" w:rsidP="009B152C">
      <w:pPr>
        <w:pStyle w:val="ActHead5"/>
      </w:pPr>
      <w:bookmarkStart w:id="86" w:name="_Toc198224974"/>
      <w:r w:rsidRPr="00D525A4">
        <w:rPr>
          <w:rStyle w:val="CharSectno"/>
        </w:rPr>
        <w:t>4</w:t>
      </w:r>
      <w:r w:rsidR="00D525A4">
        <w:rPr>
          <w:rStyle w:val="CharSectno"/>
        </w:rPr>
        <w:noBreakHyphen/>
      </w:r>
      <w:r w:rsidRPr="00D525A4">
        <w:rPr>
          <w:rStyle w:val="CharSectno"/>
        </w:rPr>
        <w:t>11</w:t>
      </w:r>
      <w:r w:rsidR="009B152C" w:rsidRPr="00D525A4">
        <w:t xml:space="preserve">  </w:t>
      </w:r>
      <w:r w:rsidR="00450C9B" w:rsidRPr="00D525A4">
        <w:t xml:space="preserve">Actions requiring approval or </w:t>
      </w:r>
      <w:r w:rsidR="00F236AF" w:rsidRPr="00D525A4">
        <w:t>that</w:t>
      </w:r>
      <w:r w:rsidR="00450C9B" w:rsidRPr="00D525A4">
        <w:t xml:space="preserve"> senior manager be informed</w:t>
      </w:r>
      <w:bookmarkEnd w:id="86"/>
    </w:p>
    <w:p w14:paraId="4762883D" w14:textId="1E824A70" w:rsidR="00450C9B" w:rsidRPr="00D525A4" w:rsidRDefault="00450C9B" w:rsidP="00450C9B">
      <w:pPr>
        <w:pStyle w:val="SubsectionHead"/>
      </w:pPr>
      <w:r w:rsidRPr="00D525A4">
        <w:t>Approval of senior manager</w:t>
      </w:r>
    </w:p>
    <w:p w14:paraId="7F961229" w14:textId="37CEE003" w:rsidR="009B152C" w:rsidRPr="00D525A4" w:rsidRDefault="009B152C" w:rsidP="009B152C">
      <w:pPr>
        <w:pStyle w:val="subsection"/>
      </w:pPr>
      <w:r w:rsidRPr="00D525A4">
        <w:tab/>
        <w:t>(1)</w:t>
      </w:r>
      <w:r w:rsidRPr="00D525A4">
        <w:tab/>
        <w:t xml:space="preserve">For the purposes of </w:t>
      </w:r>
      <w:r w:rsidR="009F59ED" w:rsidRPr="00D525A4">
        <w:t>paragraph 2</w:t>
      </w:r>
      <w:r w:rsidRPr="00D525A4">
        <w:t>6F(3)(e) of the Act, the AML/CTF policies of a reporting entity must ensure that the approval of a senior manager of the reporting entity is obtained before the reporting entity does any of the following:</w:t>
      </w:r>
    </w:p>
    <w:p w14:paraId="3B43A535" w14:textId="5168B786" w:rsidR="009B152C" w:rsidRPr="00D525A4" w:rsidRDefault="009B152C" w:rsidP="009B152C">
      <w:pPr>
        <w:pStyle w:val="paragraph"/>
      </w:pPr>
      <w:r w:rsidRPr="00D525A4">
        <w:tab/>
        <w:t>(a)</w:t>
      </w:r>
      <w:r w:rsidRPr="00D525A4">
        <w:tab/>
        <w:t xml:space="preserve">commences to provide a designated service to a customer, if the </w:t>
      </w:r>
      <w:r w:rsidR="00026607" w:rsidRPr="00D525A4">
        <w:t xml:space="preserve">reporting entity has established on reasonable grounds that the </w:t>
      </w:r>
      <w:r w:rsidRPr="00D525A4">
        <w:t>customer, any beneficial owner of the customer or any person on whose behalf the customer is receiving the service is a foreign politically exposed person;</w:t>
      </w:r>
    </w:p>
    <w:p w14:paraId="2D25B4E7" w14:textId="77777777" w:rsidR="009B152C" w:rsidRPr="00D525A4" w:rsidRDefault="009B152C" w:rsidP="009B152C">
      <w:pPr>
        <w:pStyle w:val="paragraph"/>
      </w:pPr>
      <w:r w:rsidRPr="00D525A4">
        <w:tab/>
        <w:t>(b)</w:t>
      </w:r>
      <w:r w:rsidRPr="00D525A4">
        <w:tab/>
        <w:t>commences to provide a designated service to a customer, if:</w:t>
      </w:r>
    </w:p>
    <w:p w14:paraId="1A99C2CF" w14:textId="0BBF4C33" w:rsidR="009B152C" w:rsidRPr="00D525A4" w:rsidRDefault="009B152C" w:rsidP="009B152C">
      <w:pPr>
        <w:pStyle w:val="paragraphsub"/>
      </w:pPr>
      <w:r w:rsidRPr="00D525A4">
        <w:tab/>
        <w:t>(i)</w:t>
      </w:r>
      <w:r w:rsidRPr="00D525A4">
        <w:tab/>
        <w:t xml:space="preserve">the </w:t>
      </w:r>
      <w:r w:rsidR="00026607" w:rsidRPr="00D525A4">
        <w:t xml:space="preserve">reporting entity has established on reasonable grounds that </w:t>
      </w:r>
      <w:r w:rsidR="00CF763D" w:rsidRPr="00D525A4">
        <w:t xml:space="preserve">the </w:t>
      </w:r>
      <w:r w:rsidRPr="00D525A4">
        <w:t>customer, any beneficial owner of the customer or any person on whose behalf the customer is receiving the service is a domestic politically exposed person; and</w:t>
      </w:r>
    </w:p>
    <w:p w14:paraId="17D33E37" w14:textId="77777777" w:rsidR="009B152C" w:rsidRPr="00D525A4" w:rsidRDefault="009B152C" w:rsidP="009B152C">
      <w:pPr>
        <w:pStyle w:val="paragraphsub"/>
      </w:pPr>
      <w:r w:rsidRPr="00D525A4">
        <w:lastRenderedPageBreak/>
        <w:tab/>
        <w:t>(ii)</w:t>
      </w:r>
      <w:r w:rsidRPr="00D525A4">
        <w:tab/>
        <w:t>the ML/TF risk of the customer is high;</w:t>
      </w:r>
    </w:p>
    <w:p w14:paraId="1E06949B" w14:textId="77777777" w:rsidR="009B152C" w:rsidRPr="00D525A4" w:rsidRDefault="009B152C" w:rsidP="009B152C">
      <w:pPr>
        <w:pStyle w:val="paragraph"/>
      </w:pPr>
      <w:r w:rsidRPr="00D525A4">
        <w:tab/>
        <w:t>(c)</w:t>
      </w:r>
      <w:r w:rsidRPr="00D525A4">
        <w:tab/>
        <w:t>commences to provide a designated service to a customer, if:</w:t>
      </w:r>
    </w:p>
    <w:p w14:paraId="7D7FC2DD" w14:textId="5CE6D716" w:rsidR="009B152C" w:rsidRPr="00D525A4" w:rsidRDefault="009B152C" w:rsidP="009B152C">
      <w:pPr>
        <w:pStyle w:val="paragraphsub"/>
      </w:pPr>
      <w:r w:rsidRPr="00D525A4">
        <w:tab/>
        <w:t>(i)</w:t>
      </w:r>
      <w:r w:rsidRPr="00D525A4">
        <w:tab/>
        <w:t>the</w:t>
      </w:r>
      <w:r w:rsidR="00026607" w:rsidRPr="00D525A4">
        <w:t xml:space="preserve"> reporting entity has established on reasonable grounds that the </w:t>
      </w:r>
      <w:r w:rsidRPr="00D525A4">
        <w:t>customer, any beneficial owner of the customer or any person on whose behalf the customer is receiving the service is an international organisation politically exposed person; and</w:t>
      </w:r>
    </w:p>
    <w:p w14:paraId="2963A035" w14:textId="77777777" w:rsidR="009B152C" w:rsidRPr="00D525A4" w:rsidRDefault="009B152C" w:rsidP="009B152C">
      <w:pPr>
        <w:pStyle w:val="paragraphsub"/>
      </w:pPr>
      <w:r w:rsidRPr="00D525A4">
        <w:tab/>
        <w:t>(ii)</w:t>
      </w:r>
      <w:r w:rsidRPr="00D525A4">
        <w:tab/>
        <w:t>the ML/TF risk of the customer is high;</w:t>
      </w:r>
    </w:p>
    <w:p w14:paraId="3EA2E9E4" w14:textId="18A99EF6" w:rsidR="00907AF3" w:rsidRPr="00D525A4" w:rsidRDefault="00907AF3" w:rsidP="00907AF3">
      <w:pPr>
        <w:pStyle w:val="paragraph"/>
      </w:pPr>
      <w:r w:rsidRPr="00D525A4">
        <w:tab/>
        <w:t>(d)</w:t>
      </w:r>
      <w:r w:rsidRPr="00D525A4">
        <w:tab/>
        <w:t xml:space="preserve">continues a business relationship with a customer if the reporting entity establishes on reasonable grounds that the customer, any beneficial owner of the customer </w:t>
      </w:r>
      <w:r w:rsidR="001E4CF4" w:rsidRPr="00D525A4">
        <w:t xml:space="preserve">or </w:t>
      </w:r>
      <w:r w:rsidRPr="00D525A4">
        <w:t>any person on whose behalf the customer is receiving a designated service:</w:t>
      </w:r>
    </w:p>
    <w:p w14:paraId="0AF39690" w14:textId="77777777" w:rsidR="00907AF3" w:rsidRPr="00D525A4" w:rsidRDefault="00907AF3" w:rsidP="00907AF3">
      <w:pPr>
        <w:pStyle w:val="paragraphsub"/>
      </w:pPr>
      <w:r w:rsidRPr="00D525A4">
        <w:tab/>
        <w:t>(i)</w:t>
      </w:r>
      <w:r w:rsidRPr="00D525A4">
        <w:tab/>
        <w:t>has become a foreign politically exposed person; or</w:t>
      </w:r>
    </w:p>
    <w:p w14:paraId="3DE3D7C5" w14:textId="6247B0A1" w:rsidR="00907AF3" w:rsidRPr="00D525A4" w:rsidRDefault="00907AF3" w:rsidP="00907AF3">
      <w:pPr>
        <w:pStyle w:val="paragraphsub"/>
      </w:pPr>
      <w:r w:rsidRPr="00D525A4">
        <w:tab/>
        <w:t>(ii)</w:t>
      </w:r>
      <w:r w:rsidRPr="00D525A4">
        <w:tab/>
        <w:t>has become a domestic politically exposed person, or an international politically exposed person, in circumstances where the ML/TF risk of the customer is high;</w:t>
      </w:r>
    </w:p>
    <w:p w14:paraId="6E05D7E9" w14:textId="5181D055" w:rsidR="009B152C" w:rsidRPr="00D525A4" w:rsidRDefault="009B152C" w:rsidP="009B152C">
      <w:pPr>
        <w:pStyle w:val="paragraph"/>
      </w:pPr>
      <w:r w:rsidRPr="00D525A4">
        <w:tab/>
        <w:t>(</w:t>
      </w:r>
      <w:r w:rsidR="00907AF3" w:rsidRPr="00D525A4">
        <w:t>e</w:t>
      </w:r>
      <w:r w:rsidRPr="00D525A4">
        <w:t>)</w:t>
      </w:r>
      <w:r w:rsidRPr="00D525A4">
        <w:tab/>
        <w:t>commences to provide a designated service as part of a nested services relationship;</w:t>
      </w:r>
    </w:p>
    <w:p w14:paraId="06BD8D17" w14:textId="77777777" w:rsidR="001E4CF4" w:rsidRPr="00D525A4" w:rsidRDefault="009B152C" w:rsidP="001E4CF4">
      <w:pPr>
        <w:pStyle w:val="paragraph"/>
      </w:pPr>
      <w:r w:rsidRPr="00D525A4">
        <w:tab/>
        <w:t>(</w:t>
      </w:r>
      <w:r w:rsidR="00907AF3" w:rsidRPr="00D525A4">
        <w:t>f</w:t>
      </w:r>
      <w:r w:rsidRPr="00D525A4">
        <w:t>)</w:t>
      </w:r>
      <w:r w:rsidRPr="00D525A4">
        <w:tab/>
        <w:t xml:space="preserve">enters into an agreement or arrangement of the kind referred to in </w:t>
      </w:r>
      <w:r w:rsidR="0013261E" w:rsidRPr="00D525A4">
        <w:t>paragraph 3</w:t>
      </w:r>
      <w:r w:rsidRPr="00D525A4">
        <w:t>7A(1)(a) of the Act as the first entity</w:t>
      </w:r>
      <w:r w:rsidR="007B2D63" w:rsidRPr="00D525A4">
        <w:t>.</w:t>
      </w:r>
    </w:p>
    <w:p w14:paraId="6088A787" w14:textId="2961C435" w:rsidR="00E93FD9" w:rsidRPr="00D525A4" w:rsidRDefault="00E93FD9" w:rsidP="001E4CF4">
      <w:pPr>
        <w:pStyle w:val="subsection"/>
      </w:pPr>
      <w:r w:rsidRPr="00D525A4">
        <w:tab/>
        <w:t>(2)</w:t>
      </w:r>
      <w:r w:rsidRPr="00D525A4">
        <w:tab/>
        <w:t xml:space="preserve">A foreign politically exposed person is taken to be a domestic politically exposed person for the purposes of </w:t>
      </w:r>
      <w:r w:rsidR="009F59ED" w:rsidRPr="00D525A4">
        <w:t>subsection (</w:t>
      </w:r>
      <w:r w:rsidRPr="00D525A4">
        <w:t>1) if:</w:t>
      </w:r>
    </w:p>
    <w:p w14:paraId="758FC786" w14:textId="49545701" w:rsidR="00E93FD9" w:rsidRPr="00D525A4" w:rsidRDefault="00E93FD9" w:rsidP="00E93FD9">
      <w:pPr>
        <w:pStyle w:val="paragraph"/>
      </w:pPr>
      <w:r w:rsidRPr="00D525A4">
        <w:tab/>
        <w:t>(a)</w:t>
      </w:r>
      <w:r w:rsidRPr="00D525A4">
        <w:tab/>
        <w:t>the designated service is being provided to the customer at or through a permanent establishment in a foreign country; and</w:t>
      </w:r>
    </w:p>
    <w:p w14:paraId="27E64595" w14:textId="491B386B" w:rsidR="00E93FD9" w:rsidRPr="00D525A4" w:rsidRDefault="00E93FD9" w:rsidP="00E93FD9">
      <w:pPr>
        <w:pStyle w:val="paragraph"/>
      </w:pPr>
      <w:r w:rsidRPr="00D525A4">
        <w:tab/>
        <w:t>(b)</w:t>
      </w:r>
      <w:r w:rsidRPr="00D525A4">
        <w:tab/>
        <w:t>the foreign politically exposed person has that status because of the person’s connection to the same foreign country.</w:t>
      </w:r>
    </w:p>
    <w:p w14:paraId="3C247625" w14:textId="71627D6C" w:rsidR="00450C9B" w:rsidRPr="00D525A4" w:rsidRDefault="00450C9B" w:rsidP="00450C9B">
      <w:pPr>
        <w:pStyle w:val="SubsectionHead"/>
      </w:pPr>
      <w:r w:rsidRPr="00D525A4">
        <w:t>Informing senior manager</w:t>
      </w:r>
    </w:p>
    <w:p w14:paraId="2F88F6DC" w14:textId="134F0CD4" w:rsidR="009B152C" w:rsidRPr="00D525A4" w:rsidRDefault="009B152C" w:rsidP="009B152C">
      <w:pPr>
        <w:pStyle w:val="subsection"/>
      </w:pPr>
      <w:r w:rsidRPr="00D525A4">
        <w:tab/>
        <w:t>(</w:t>
      </w:r>
      <w:r w:rsidR="00E93FD9" w:rsidRPr="00D525A4">
        <w:t>3</w:t>
      </w:r>
      <w:r w:rsidRPr="00D525A4">
        <w:t>)</w:t>
      </w:r>
      <w:r w:rsidRPr="00D525A4">
        <w:tab/>
        <w:t xml:space="preserve">For the purposes of </w:t>
      </w:r>
      <w:r w:rsidR="009F59ED" w:rsidRPr="00D525A4">
        <w:t>paragraph 2</w:t>
      </w:r>
      <w:r w:rsidRPr="00D525A4">
        <w:t xml:space="preserve">6F(3)(e) of the Act, the AML/CTF policies of a reporting entity must ensure that a senior manager of the reporting entity is informed before the reporting entity commences to provide a designated service covered by </w:t>
      </w:r>
      <w:r w:rsidR="0013261E" w:rsidRPr="00D525A4">
        <w:t>item 3</w:t>
      </w:r>
      <w:r w:rsidRPr="00D525A4">
        <w:t xml:space="preserve">9 of table 1 in </w:t>
      </w:r>
      <w:r w:rsidR="0010391B" w:rsidRPr="00D525A4">
        <w:t>section 6</w:t>
      </w:r>
      <w:r w:rsidRPr="00D525A4">
        <w:t xml:space="preserve"> of the Act to a customer if the ML/TF risk of the customer is high.</w:t>
      </w:r>
    </w:p>
    <w:p w14:paraId="456237C2" w14:textId="10090E5D" w:rsidR="00450C9B" w:rsidRPr="00D525A4" w:rsidRDefault="00450C9B" w:rsidP="00450C9B">
      <w:pPr>
        <w:pStyle w:val="SubsectionHead"/>
      </w:pPr>
      <w:r w:rsidRPr="00D525A4">
        <w:t>Other actions requiring approval</w:t>
      </w:r>
    </w:p>
    <w:p w14:paraId="39919A9D" w14:textId="0E066BCF" w:rsidR="00450C9B" w:rsidRPr="00D525A4" w:rsidRDefault="00450C9B" w:rsidP="00450C9B">
      <w:pPr>
        <w:pStyle w:val="subsection"/>
      </w:pPr>
      <w:r w:rsidRPr="00D525A4">
        <w:tab/>
        <w:t>(</w:t>
      </w:r>
      <w:r w:rsidR="00E93FD9" w:rsidRPr="00D525A4">
        <w:t>4</w:t>
      </w:r>
      <w:r w:rsidRPr="00D525A4">
        <w:t>)</w:t>
      </w:r>
      <w:r w:rsidRPr="00D525A4">
        <w:tab/>
        <w:t xml:space="preserve">For the purposes of </w:t>
      </w:r>
      <w:r w:rsidR="009F59ED" w:rsidRPr="00D525A4">
        <w:t>paragraph 2</w:t>
      </w:r>
      <w:r w:rsidRPr="00D525A4">
        <w:t>6F(3)(e) of the Act, the AML/CTF policies of a reporting entity must deal with:</w:t>
      </w:r>
    </w:p>
    <w:p w14:paraId="21E53DD2" w14:textId="6B1DDC98" w:rsidR="00450C9B" w:rsidRPr="00D525A4" w:rsidRDefault="00450C9B" w:rsidP="00450C9B">
      <w:pPr>
        <w:pStyle w:val="paragraph"/>
      </w:pPr>
      <w:r w:rsidRPr="00D525A4">
        <w:tab/>
        <w:t>(a)</w:t>
      </w:r>
      <w:r w:rsidRPr="00D525A4">
        <w:tab/>
        <w:t xml:space="preserve">circumstances (other than the circumstances mentioned in </w:t>
      </w:r>
      <w:r w:rsidR="009F59ED" w:rsidRPr="00D525A4">
        <w:t>subsection (</w:t>
      </w:r>
      <w:r w:rsidRPr="00D525A4">
        <w:t>1)) in which approval is required relating to:</w:t>
      </w:r>
    </w:p>
    <w:p w14:paraId="72817162" w14:textId="77777777" w:rsidR="00450C9B" w:rsidRPr="00D525A4" w:rsidRDefault="00450C9B" w:rsidP="00450C9B">
      <w:pPr>
        <w:pStyle w:val="paragraphsub"/>
      </w:pPr>
      <w:r w:rsidRPr="00D525A4">
        <w:tab/>
        <w:t>(i)</w:t>
      </w:r>
      <w:r w:rsidRPr="00D525A4">
        <w:tab/>
        <w:t>the reporting entity commencing to provide a designated service to a customer; or</w:t>
      </w:r>
    </w:p>
    <w:p w14:paraId="6AE7C378" w14:textId="77777777" w:rsidR="00450C9B" w:rsidRPr="00D525A4" w:rsidRDefault="00450C9B" w:rsidP="00450C9B">
      <w:pPr>
        <w:pStyle w:val="paragraphsub"/>
      </w:pPr>
      <w:r w:rsidRPr="00D525A4">
        <w:tab/>
        <w:t>(ii)</w:t>
      </w:r>
      <w:r w:rsidRPr="00D525A4">
        <w:tab/>
        <w:t>whether the reporting entity is to continue a business relationship with a customer; and</w:t>
      </w:r>
    </w:p>
    <w:p w14:paraId="5842D0FF" w14:textId="77777777" w:rsidR="00450C9B" w:rsidRPr="00D525A4" w:rsidRDefault="00450C9B" w:rsidP="00450C9B">
      <w:pPr>
        <w:pStyle w:val="paragraph"/>
      </w:pPr>
      <w:r w:rsidRPr="00D525A4">
        <w:tab/>
        <w:t>(b)</w:t>
      </w:r>
      <w:r w:rsidRPr="00D525A4">
        <w:tab/>
        <w:t>who is authorised to give the required approval in each of those circumstances.</w:t>
      </w:r>
    </w:p>
    <w:p w14:paraId="33D8D811" w14:textId="67ADE752" w:rsidR="00FE6309" w:rsidRPr="00D525A4" w:rsidRDefault="00EC097E" w:rsidP="00FE6309">
      <w:pPr>
        <w:pStyle w:val="ActHead5"/>
      </w:pPr>
      <w:bookmarkStart w:id="87" w:name="_Toc198224975"/>
      <w:r w:rsidRPr="00D525A4">
        <w:rPr>
          <w:rStyle w:val="CharSectno"/>
        </w:rPr>
        <w:lastRenderedPageBreak/>
        <w:t>4</w:t>
      </w:r>
      <w:r w:rsidR="00D525A4">
        <w:rPr>
          <w:rStyle w:val="CharSectno"/>
        </w:rPr>
        <w:noBreakHyphen/>
      </w:r>
      <w:r w:rsidRPr="00D525A4">
        <w:rPr>
          <w:rStyle w:val="CharSectno"/>
        </w:rPr>
        <w:t>12</w:t>
      </w:r>
      <w:r w:rsidR="00FE6309" w:rsidRPr="00D525A4">
        <w:t xml:space="preserve">  Policies relating to financial sanctions</w:t>
      </w:r>
      <w:bookmarkEnd w:id="87"/>
    </w:p>
    <w:p w14:paraId="5945F40C" w14:textId="0E390450" w:rsidR="00FE6309" w:rsidRPr="00D525A4" w:rsidRDefault="00FE6309" w:rsidP="00FE6309">
      <w:pPr>
        <w:pStyle w:val="subsection"/>
      </w:pPr>
      <w:r w:rsidRPr="00D525A4">
        <w:tab/>
      </w:r>
      <w:r w:rsidRPr="00D525A4">
        <w:tab/>
        <w:t xml:space="preserve">For the purposes of </w:t>
      </w:r>
      <w:r w:rsidR="009F59ED" w:rsidRPr="00D525A4">
        <w:t>paragraph 2</w:t>
      </w:r>
      <w:r w:rsidRPr="00D525A4">
        <w:t>6F(3)(e) of the Act, the AML/CTF policies of a reporting entity must deal with ensuring that, in providing its designated services, the reporting entity:</w:t>
      </w:r>
    </w:p>
    <w:p w14:paraId="6FF77722" w14:textId="13FDBAAD" w:rsidR="00FE6309" w:rsidRPr="00D525A4" w:rsidRDefault="00FE6309" w:rsidP="00FE6309">
      <w:pPr>
        <w:pStyle w:val="paragraph"/>
      </w:pPr>
      <w:r w:rsidRPr="00D525A4">
        <w:tab/>
        <w:t>(a)</w:t>
      </w:r>
      <w:r w:rsidRPr="00D525A4">
        <w:tab/>
        <w:t xml:space="preserve">does not make any money, property or virtual assets available to, or available for the benefit of, a person designated for targeted financial sanctions, in contravention of the </w:t>
      </w:r>
      <w:r w:rsidRPr="00D525A4">
        <w:rPr>
          <w:i/>
          <w:iCs/>
        </w:rPr>
        <w:t>Autonomous Sanctions Act 2011</w:t>
      </w:r>
      <w:r w:rsidRPr="00D525A4">
        <w:t xml:space="preserve"> or the </w:t>
      </w:r>
      <w:r w:rsidRPr="00D525A4">
        <w:rPr>
          <w:i/>
          <w:iCs/>
        </w:rPr>
        <w:t>Charter of the United Nations Act 1945</w:t>
      </w:r>
      <w:r w:rsidRPr="00D525A4">
        <w:t>; and</w:t>
      </w:r>
    </w:p>
    <w:p w14:paraId="7047E5CA" w14:textId="2164C725" w:rsidR="00FE6309" w:rsidRPr="00D525A4" w:rsidRDefault="00FE6309" w:rsidP="00FE6309">
      <w:pPr>
        <w:pStyle w:val="paragraph"/>
      </w:pPr>
      <w:r w:rsidRPr="00D525A4">
        <w:tab/>
        <w:t>(b)</w:t>
      </w:r>
      <w:r w:rsidRPr="00D525A4">
        <w:tab/>
        <w:t>does not use or deal with, or allow or facilitate the use of or dealing with, any money, property or virtual assets owned or controlled (directly or indirectly) by a person designated for targeted financial sanctions, in contravention of either of those Acts.</w:t>
      </w:r>
    </w:p>
    <w:p w14:paraId="57B6F766" w14:textId="4AA8096C" w:rsidR="00533617" w:rsidRPr="00D525A4" w:rsidRDefault="00EC097E" w:rsidP="00533617">
      <w:pPr>
        <w:pStyle w:val="ActHead5"/>
      </w:pPr>
      <w:bookmarkStart w:id="88" w:name="_Toc198224976"/>
      <w:r w:rsidRPr="00D525A4">
        <w:rPr>
          <w:rStyle w:val="CharSectno"/>
        </w:rPr>
        <w:t>4</w:t>
      </w:r>
      <w:r w:rsidR="00D525A4">
        <w:rPr>
          <w:rStyle w:val="CharSectno"/>
        </w:rPr>
        <w:noBreakHyphen/>
      </w:r>
      <w:r w:rsidRPr="00D525A4">
        <w:rPr>
          <w:rStyle w:val="CharSectno"/>
        </w:rPr>
        <w:t>13</w:t>
      </w:r>
      <w:r w:rsidR="00533617" w:rsidRPr="00D525A4">
        <w:t xml:space="preserve">  Policies relating to the obligations of ordering institutions relating to virtual asset transfers</w:t>
      </w:r>
      <w:bookmarkEnd w:id="88"/>
    </w:p>
    <w:p w14:paraId="213DE9CF" w14:textId="5E13BB3B" w:rsidR="00533617" w:rsidRPr="00D525A4" w:rsidRDefault="00533617" w:rsidP="00533617">
      <w:pPr>
        <w:pStyle w:val="subsection"/>
      </w:pPr>
      <w:r w:rsidRPr="00D525A4">
        <w:tab/>
      </w:r>
      <w:r w:rsidRPr="00D525A4">
        <w:tab/>
        <w:t xml:space="preserve">For the purposes of </w:t>
      </w:r>
      <w:r w:rsidR="009F59ED" w:rsidRPr="00D525A4">
        <w:t>paragraph 2</w:t>
      </w:r>
      <w:r w:rsidRPr="00D525A4">
        <w:t xml:space="preserve">6F(3)(e) of the Act, the AML/CTF policies of a reporting entity must deal with the following if the reporting entity is to provide a designated service covered by </w:t>
      </w:r>
      <w:r w:rsidR="0010391B" w:rsidRPr="00D525A4">
        <w:t>item 2</w:t>
      </w:r>
      <w:r w:rsidRPr="00D525A4">
        <w:t xml:space="preserve">9 of table 1 in </w:t>
      </w:r>
      <w:r w:rsidR="0010391B" w:rsidRPr="00D525A4">
        <w:t>section 6</w:t>
      </w:r>
      <w:r w:rsidRPr="00D525A4">
        <w:t xml:space="preserve"> of the Act, as an ordering institution, in relation to the transfer of a virtual asset:</w:t>
      </w:r>
    </w:p>
    <w:p w14:paraId="5F3F774D" w14:textId="77777777" w:rsidR="00533617" w:rsidRPr="00D525A4" w:rsidRDefault="00533617" w:rsidP="00533617">
      <w:pPr>
        <w:pStyle w:val="paragraph"/>
      </w:pPr>
      <w:r w:rsidRPr="00D525A4">
        <w:tab/>
        <w:t>(a)</w:t>
      </w:r>
      <w:r w:rsidRPr="00D525A4">
        <w:tab/>
        <w:t>how the reporting entity will undertake due diligence to determine:</w:t>
      </w:r>
    </w:p>
    <w:p w14:paraId="20D09B4B" w14:textId="62DDFCF5" w:rsidR="00533617" w:rsidRPr="00D525A4" w:rsidRDefault="00533617" w:rsidP="00533617">
      <w:pPr>
        <w:pStyle w:val="paragraphsub"/>
      </w:pPr>
      <w:r w:rsidRPr="00D525A4">
        <w:tab/>
        <w:t>(i)</w:t>
      </w:r>
      <w:r w:rsidRPr="00D525A4">
        <w:tab/>
        <w:t>whether the wallet to which the virtual asset is being transferred is a custodial wallet or a self</w:t>
      </w:r>
      <w:r w:rsidR="00D525A4">
        <w:noBreakHyphen/>
      </w:r>
      <w:r w:rsidRPr="00D525A4">
        <w:t>hosted wallet; and</w:t>
      </w:r>
    </w:p>
    <w:p w14:paraId="7DE2494F" w14:textId="77777777" w:rsidR="00533617" w:rsidRPr="00D525A4" w:rsidRDefault="00533617" w:rsidP="00533617">
      <w:pPr>
        <w:pStyle w:val="paragraphsub"/>
      </w:pPr>
      <w:r w:rsidRPr="00D525A4">
        <w:tab/>
        <w:t>(ii)</w:t>
      </w:r>
      <w:r w:rsidRPr="00D525A4">
        <w:tab/>
        <w:t>if the wallet is a custodial wallet—whether the person who controls the wallet is required to be licensed or registered under a law that gives effect to the FATF Recommendations, and, if the person is so required, whether the person is so licensed or registered;</w:t>
      </w:r>
    </w:p>
    <w:p w14:paraId="6D235D53" w14:textId="77777777" w:rsidR="00533617" w:rsidRPr="00D525A4" w:rsidRDefault="00533617" w:rsidP="00533617">
      <w:pPr>
        <w:pStyle w:val="paragraph"/>
      </w:pPr>
      <w:r w:rsidRPr="00D525A4">
        <w:tab/>
        <w:t>(b)</w:t>
      </w:r>
      <w:r w:rsidRPr="00D525A4">
        <w:tab/>
        <w:t>if the person who controls the wallet is a person licensed or registered under a law that gives effect to the FATF Recommendations, or a person not required to be so licensed or registered—how the reporting entity will determine whether the beneficiary institution is capable of:</w:t>
      </w:r>
    </w:p>
    <w:p w14:paraId="00C01C49" w14:textId="63D35AF7" w:rsidR="00533617" w:rsidRPr="00D525A4" w:rsidRDefault="00533617" w:rsidP="00533617">
      <w:pPr>
        <w:pStyle w:val="paragraphsub"/>
      </w:pPr>
      <w:r w:rsidRPr="00D525A4">
        <w:tab/>
        <w:t>(i)</w:t>
      </w:r>
      <w:r w:rsidRPr="00D525A4">
        <w:tab/>
        <w:t>receiving the information that the reporting entity is required to pass on under sub</w:t>
      </w:r>
      <w:r w:rsidR="0010391B" w:rsidRPr="00D525A4">
        <w:t>section 6</w:t>
      </w:r>
      <w:r w:rsidRPr="00D525A4">
        <w:t>4(3) of the Act securely; and</w:t>
      </w:r>
    </w:p>
    <w:p w14:paraId="6509DBFB" w14:textId="77777777" w:rsidR="00533617" w:rsidRPr="00D525A4" w:rsidRDefault="00533617" w:rsidP="00533617">
      <w:pPr>
        <w:pStyle w:val="paragraphsub"/>
      </w:pPr>
      <w:r w:rsidRPr="00D525A4">
        <w:tab/>
        <w:t>(ii)</w:t>
      </w:r>
      <w:r w:rsidRPr="00D525A4">
        <w:tab/>
        <w:t xml:space="preserve"> safeguarding the confidentiality of that information;</w:t>
      </w:r>
    </w:p>
    <w:p w14:paraId="4649269E" w14:textId="5F6F55EE" w:rsidR="00533617" w:rsidRPr="00D525A4" w:rsidRDefault="00533617" w:rsidP="00533617">
      <w:pPr>
        <w:pStyle w:val="paragraph"/>
      </w:pPr>
      <w:r w:rsidRPr="00D525A4">
        <w:tab/>
        <w:t>(c)</w:t>
      </w:r>
      <w:r w:rsidRPr="00D525A4">
        <w:tab/>
        <w:t>if the wallet is a self</w:t>
      </w:r>
      <w:r w:rsidR="00D525A4">
        <w:noBreakHyphen/>
      </w:r>
      <w:r w:rsidRPr="00D525A4">
        <w:t>hosted wallet—how the reporting entity will identify the payee and any steps the reporting entity will take to verify the person who controls the wallet;</w:t>
      </w:r>
    </w:p>
    <w:p w14:paraId="7F5B590E" w14:textId="77777777" w:rsidR="00533617" w:rsidRPr="00D525A4" w:rsidRDefault="00533617" w:rsidP="00533617">
      <w:pPr>
        <w:pStyle w:val="paragraph"/>
      </w:pPr>
      <w:r w:rsidRPr="00D525A4">
        <w:tab/>
        <w:t>(d)</w:t>
      </w:r>
      <w:r w:rsidRPr="00D525A4">
        <w:tab/>
        <w:t>how the reporting entity will manage and mitigate the ML/TF risk of transferring the virtual asset if the person who controls the wallet is:</w:t>
      </w:r>
    </w:p>
    <w:p w14:paraId="6E74703C" w14:textId="77777777" w:rsidR="00533617" w:rsidRPr="00D525A4" w:rsidRDefault="00533617" w:rsidP="00533617">
      <w:pPr>
        <w:pStyle w:val="paragraphsub"/>
      </w:pPr>
      <w:r w:rsidRPr="00D525A4">
        <w:tab/>
        <w:t>(i)</w:t>
      </w:r>
      <w:r w:rsidRPr="00D525A4">
        <w:tab/>
        <w:t>the payee in a case where the person who controls the wallet has not been verified; or</w:t>
      </w:r>
    </w:p>
    <w:p w14:paraId="04029B45" w14:textId="77777777" w:rsidR="00533617" w:rsidRPr="00D525A4" w:rsidRDefault="00533617" w:rsidP="00533617">
      <w:pPr>
        <w:pStyle w:val="paragraphsub"/>
      </w:pPr>
      <w:r w:rsidRPr="00D525A4">
        <w:tab/>
        <w:t>(ii)</w:t>
      </w:r>
      <w:r w:rsidRPr="00D525A4">
        <w:tab/>
        <w:t>a person not required to be licensed or registered under a law that gives effect to the FATF Recommendations.</w:t>
      </w:r>
    </w:p>
    <w:p w14:paraId="730B6813" w14:textId="78D567A2" w:rsidR="00533617" w:rsidRPr="00D525A4" w:rsidRDefault="00533617" w:rsidP="00533617">
      <w:pPr>
        <w:pStyle w:val="notetext"/>
      </w:pPr>
      <w:r w:rsidRPr="00D525A4">
        <w:t>Note:</w:t>
      </w:r>
      <w:r w:rsidRPr="00D525A4">
        <w:tab/>
        <w:t>Sub</w:t>
      </w:r>
      <w:r w:rsidR="0010391B" w:rsidRPr="00D525A4">
        <w:t>section 6</w:t>
      </w:r>
      <w:r w:rsidRPr="00D525A4">
        <w:t>6A(4) of the Act prohibits provision of the designated service if the transfer of value is to a person who is required to be licensed or registered under a law that gives effect to the FATF Recommendations, but is not so licensed or registered.</w:t>
      </w:r>
    </w:p>
    <w:p w14:paraId="17A4A215" w14:textId="54F6B0B6" w:rsidR="00533617" w:rsidRPr="00D525A4" w:rsidRDefault="00EC097E" w:rsidP="00533617">
      <w:pPr>
        <w:pStyle w:val="ActHead5"/>
      </w:pPr>
      <w:bookmarkStart w:id="89" w:name="_Toc198224977"/>
      <w:r w:rsidRPr="00D525A4">
        <w:rPr>
          <w:rStyle w:val="CharSectno"/>
        </w:rPr>
        <w:lastRenderedPageBreak/>
        <w:t>4</w:t>
      </w:r>
      <w:r w:rsidR="00D525A4">
        <w:rPr>
          <w:rStyle w:val="CharSectno"/>
        </w:rPr>
        <w:noBreakHyphen/>
      </w:r>
      <w:r w:rsidRPr="00D525A4">
        <w:rPr>
          <w:rStyle w:val="CharSectno"/>
        </w:rPr>
        <w:t>14</w:t>
      </w:r>
      <w:r w:rsidR="00533617" w:rsidRPr="00D525A4">
        <w:t xml:space="preserve">  Policies relating to the obligations of beneficiary institutions</w:t>
      </w:r>
      <w:bookmarkEnd w:id="89"/>
    </w:p>
    <w:p w14:paraId="21EAB8CD" w14:textId="77777777" w:rsidR="00533617" w:rsidRPr="00D525A4" w:rsidRDefault="00533617" w:rsidP="00533617">
      <w:pPr>
        <w:pStyle w:val="SubsectionHead"/>
      </w:pPr>
      <w:r w:rsidRPr="00D525A4">
        <w:t>Policies relating to all transfers of value</w:t>
      </w:r>
    </w:p>
    <w:p w14:paraId="44C05AA7" w14:textId="211E48D3" w:rsidR="00533617" w:rsidRPr="00D525A4" w:rsidRDefault="00533617" w:rsidP="00533617">
      <w:pPr>
        <w:pStyle w:val="subsection"/>
      </w:pPr>
      <w:r w:rsidRPr="00D525A4">
        <w:tab/>
        <w:t>(1)</w:t>
      </w:r>
      <w:r w:rsidRPr="00D525A4">
        <w:tab/>
        <w:t xml:space="preserve">For the purposes of </w:t>
      </w:r>
      <w:r w:rsidR="009F59ED" w:rsidRPr="00D525A4">
        <w:t>paragraph 2</w:t>
      </w:r>
      <w:r w:rsidRPr="00D525A4">
        <w:t xml:space="preserve">6F(3)(e) of the Act, the AML/CTF policies of a reporting entity must deal with the following if the reporting entity is to provide a designated service covered by item 30 of table 1 in </w:t>
      </w:r>
      <w:r w:rsidR="0010391B" w:rsidRPr="00D525A4">
        <w:t>section 6</w:t>
      </w:r>
      <w:r w:rsidRPr="00D525A4">
        <w:t xml:space="preserve"> of the Act, as a beneficiary institution to a payee:</w:t>
      </w:r>
    </w:p>
    <w:p w14:paraId="22628BC4" w14:textId="77777777" w:rsidR="00533617" w:rsidRPr="00D525A4" w:rsidRDefault="00533617" w:rsidP="00533617">
      <w:pPr>
        <w:pStyle w:val="paragraph"/>
      </w:pPr>
      <w:r w:rsidRPr="00D525A4">
        <w:tab/>
        <w:t>(a)</w:t>
      </w:r>
      <w:r w:rsidRPr="00D525A4">
        <w:tab/>
        <w:t>reasonable steps to monitor:</w:t>
      </w:r>
    </w:p>
    <w:p w14:paraId="3998A28A" w14:textId="28C75B24" w:rsidR="00533617" w:rsidRPr="00D525A4" w:rsidRDefault="00533617" w:rsidP="00533617">
      <w:pPr>
        <w:pStyle w:val="paragraphsub"/>
      </w:pPr>
      <w:r w:rsidRPr="00D525A4">
        <w:tab/>
        <w:t>(i)</w:t>
      </w:r>
      <w:r w:rsidRPr="00D525A4">
        <w:tab/>
        <w:t xml:space="preserve">whether the reporting entity has received the information specified in </w:t>
      </w:r>
      <w:r w:rsidR="00063594" w:rsidRPr="00D525A4">
        <w:t xml:space="preserve">section </w:t>
      </w:r>
      <w:r w:rsidR="00EC097E" w:rsidRPr="00D525A4">
        <w:t>7</w:t>
      </w:r>
      <w:r w:rsidR="00D525A4">
        <w:noBreakHyphen/>
      </w:r>
      <w:r w:rsidR="00EC097E" w:rsidRPr="00D525A4">
        <w:t>4</w:t>
      </w:r>
      <w:r w:rsidR="00063594" w:rsidRPr="00D525A4">
        <w:t xml:space="preserve"> of this instrument </w:t>
      </w:r>
      <w:r w:rsidRPr="00D525A4">
        <w:t>relating to the transfer of value; and</w:t>
      </w:r>
    </w:p>
    <w:p w14:paraId="2FA054C9" w14:textId="77777777" w:rsidR="00533617" w:rsidRPr="00D525A4" w:rsidRDefault="00533617" w:rsidP="00533617">
      <w:pPr>
        <w:pStyle w:val="paragraphsub"/>
      </w:pPr>
      <w:r w:rsidRPr="00D525A4">
        <w:tab/>
        <w:t>(ii)</w:t>
      </w:r>
      <w:r w:rsidRPr="00D525A4">
        <w:tab/>
        <w:t>whether the information received about the payee is accurate;</w:t>
      </w:r>
    </w:p>
    <w:p w14:paraId="34E175E4" w14:textId="4D4814D7" w:rsidR="00533617" w:rsidRPr="00D525A4" w:rsidRDefault="00533617" w:rsidP="00533617">
      <w:pPr>
        <w:pStyle w:val="paragraph"/>
      </w:pPr>
      <w:r w:rsidRPr="00D525A4">
        <w:tab/>
        <w:t>(b)</w:t>
      </w:r>
      <w:r w:rsidRPr="00D525A4">
        <w:tab/>
        <w:t>determining whether to make the transferred value available to the payee in the circumstances described in sub</w:t>
      </w:r>
      <w:r w:rsidR="0010391B" w:rsidRPr="00D525A4">
        <w:t>section 6</w:t>
      </w:r>
      <w:r w:rsidRPr="00D525A4">
        <w:t>5(3) of the Act;</w:t>
      </w:r>
    </w:p>
    <w:p w14:paraId="4874819F" w14:textId="7D21232F" w:rsidR="00533617" w:rsidRPr="00D525A4" w:rsidRDefault="00533617" w:rsidP="00533617">
      <w:pPr>
        <w:pStyle w:val="paragraph"/>
      </w:pPr>
      <w:r w:rsidRPr="00D525A4">
        <w:tab/>
        <w:t>(c)</w:t>
      </w:r>
      <w:r w:rsidRPr="00D525A4">
        <w:tab/>
        <w:t>determining whether to request further information from another institution in the value transfer chain in the circumstances described in sub</w:t>
      </w:r>
      <w:r w:rsidR="0010391B" w:rsidRPr="00D525A4">
        <w:t>section 6</w:t>
      </w:r>
      <w:r w:rsidRPr="00D525A4">
        <w:t>5(3) of the Act.</w:t>
      </w:r>
    </w:p>
    <w:p w14:paraId="389D89C7" w14:textId="1E3DBBC6" w:rsidR="00533617" w:rsidRPr="00D525A4" w:rsidRDefault="00533617" w:rsidP="00533617">
      <w:pPr>
        <w:pStyle w:val="notetext"/>
      </w:pPr>
      <w:r w:rsidRPr="00D525A4">
        <w:t>Note:</w:t>
      </w:r>
      <w:r w:rsidRPr="00D525A4">
        <w:tab/>
        <w:t>Sub</w:t>
      </w:r>
      <w:r w:rsidR="0010391B" w:rsidRPr="00D525A4">
        <w:t>section 6</w:t>
      </w:r>
      <w:r w:rsidRPr="00D525A4">
        <w:t>6A(6) of the Act prohibits a beneficiary institution from providing the designated service in relation to the transfer of a virtual asset if it has not received all of the information, unless the exception in sub</w:t>
      </w:r>
      <w:r w:rsidR="0010391B" w:rsidRPr="00D525A4">
        <w:t>section 6</w:t>
      </w:r>
      <w:r w:rsidRPr="00D525A4">
        <w:t>6A(10) applies.</w:t>
      </w:r>
    </w:p>
    <w:p w14:paraId="0EBB690B" w14:textId="77777777" w:rsidR="00533617" w:rsidRPr="00D525A4" w:rsidRDefault="00533617" w:rsidP="00533617">
      <w:pPr>
        <w:pStyle w:val="SubsectionHead"/>
      </w:pPr>
      <w:r w:rsidRPr="00D525A4">
        <w:t>Policies relating to virtual asset transfers</w:t>
      </w:r>
    </w:p>
    <w:p w14:paraId="46B984FE" w14:textId="77777777" w:rsidR="00533617" w:rsidRPr="00D525A4" w:rsidRDefault="00533617" w:rsidP="00533617">
      <w:pPr>
        <w:pStyle w:val="subsection"/>
      </w:pPr>
      <w:r w:rsidRPr="00D525A4">
        <w:tab/>
        <w:t>(2)</w:t>
      </w:r>
      <w:r w:rsidRPr="00D525A4">
        <w:tab/>
        <w:t>The AML/CTF policies of the reporting entity must also deal with the following if the designated service is to be provided in relation to the transfer of a virtual asset:</w:t>
      </w:r>
    </w:p>
    <w:p w14:paraId="562FCE60" w14:textId="77777777" w:rsidR="00533617" w:rsidRPr="00D525A4" w:rsidRDefault="00533617" w:rsidP="00533617">
      <w:pPr>
        <w:pStyle w:val="paragraph"/>
      </w:pPr>
      <w:r w:rsidRPr="00D525A4">
        <w:tab/>
        <w:t>(a)</w:t>
      </w:r>
      <w:r w:rsidRPr="00D525A4">
        <w:tab/>
        <w:t>how the reporting entity will undertake due diligence to determine:</w:t>
      </w:r>
    </w:p>
    <w:p w14:paraId="030D2B5F" w14:textId="66C5BD0C" w:rsidR="00533617" w:rsidRPr="00D525A4" w:rsidRDefault="00533617" w:rsidP="00533617">
      <w:pPr>
        <w:pStyle w:val="paragraphsub"/>
      </w:pPr>
      <w:r w:rsidRPr="00D525A4">
        <w:tab/>
        <w:t>(i)</w:t>
      </w:r>
      <w:r w:rsidRPr="00D525A4">
        <w:tab/>
        <w:t>whether the wallet from which the virtual asset is being transferred is a custodial wallet or a self</w:t>
      </w:r>
      <w:r w:rsidR="00D525A4">
        <w:noBreakHyphen/>
      </w:r>
      <w:r w:rsidRPr="00D525A4">
        <w:t>hosted wallet; and</w:t>
      </w:r>
    </w:p>
    <w:p w14:paraId="2B457D9B" w14:textId="77777777" w:rsidR="00533617" w:rsidRPr="00D525A4" w:rsidRDefault="00533617" w:rsidP="00533617">
      <w:pPr>
        <w:pStyle w:val="paragraphsub"/>
      </w:pPr>
      <w:r w:rsidRPr="00D525A4">
        <w:tab/>
        <w:t>(ii)</w:t>
      </w:r>
      <w:r w:rsidRPr="00D525A4">
        <w:tab/>
        <w:t>if the wallet is a custodial wallet—whether the person who controls the wallet is required to be licensed or registered under a law that gives effect to the FATF Recommendations, and, if the person is so required, whether the person is so licensed or registered;</w:t>
      </w:r>
    </w:p>
    <w:p w14:paraId="23F06F97" w14:textId="030029F5" w:rsidR="00533617" w:rsidRPr="00D525A4" w:rsidRDefault="00533617" w:rsidP="00533617">
      <w:pPr>
        <w:pStyle w:val="paragraph"/>
      </w:pPr>
      <w:r w:rsidRPr="00D525A4">
        <w:tab/>
        <w:t>(b)</w:t>
      </w:r>
      <w:r w:rsidRPr="00D525A4">
        <w:tab/>
        <w:t xml:space="preserve">if the person who controls the wallet is a person who is licensed or registered under a law that gives effect to the FATF Recommendations, or a person not required to be so licensed or registered—how the reporting entity will determine whether the ordering institution, and any intermediary institution, is capable of securely passing on the information specified in </w:t>
      </w:r>
      <w:r w:rsidR="00063594" w:rsidRPr="00D525A4">
        <w:t xml:space="preserve">section </w:t>
      </w:r>
      <w:r w:rsidR="00EC097E" w:rsidRPr="00D525A4">
        <w:t>7</w:t>
      </w:r>
      <w:r w:rsidR="00D525A4">
        <w:noBreakHyphen/>
      </w:r>
      <w:r w:rsidR="00EC097E" w:rsidRPr="00D525A4">
        <w:t>4</w:t>
      </w:r>
      <w:r w:rsidR="00063594" w:rsidRPr="00D525A4">
        <w:t xml:space="preserve"> of this instrument </w:t>
      </w:r>
      <w:r w:rsidRPr="00D525A4">
        <w:t>relating to the transfer of value;</w:t>
      </w:r>
    </w:p>
    <w:p w14:paraId="59F5BAE3" w14:textId="4D0A77E9" w:rsidR="00533617" w:rsidRPr="00D525A4" w:rsidRDefault="00533617" w:rsidP="00533617">
      <w:pPr>
        <w:pStyle w:val="paragraph"/>
      </w:pPr>
      <w:r w:rsidRPr="00D525A4">
        <w:tab/>
        <w:t>(c)</w:t>
      </w:r>
      <w:r w:rsidRPr="00D525A4">
        <w:tab/>
        <w:t>if the wallet is a self</w:t>
      </w:r>
      <w:r w:rsidR="00D525A4">
        <w:noBreakHyphen/>
      </w:r>
      <w:r w:rsidRPr="00D525A4">
        <w:t>hosted wallet—how the reporting entity will identify the payer and any steps the reporting entity will take to verify the person who controls the wallet;</w:t>
      </w:r>
    </w:p>
    <w:p w14:paraId="430F77CC" w14:textId="77777777" w:rsidR="00533617" w:rsidRPr="00D525A4" w:rsidRDefault="00533617" w:rsidP="00533617">
      <w:pPr>
        <w:pStyle w:val="paragraph"/>
      </w:pPr>
      <w:r w:rsidRPr="00D525A4">
        <w:tab/>
        <w:t>(d)</w:t>
      </w:r>
      <w:r w:rsidRPr="00D525A4">
        <w:tab/>
        <w:t>how the reporting entity will manage and mitigate the ML/TF risk of transferring the virtual asset if the person who controls the wallet is:</w:t>
      </w:r>
    </w:p>
    <w:p w14:paraId="4373A513" w14:textId="77777777" w:rsidR="00533617" w:rsidRPr="00D525A4" w:rsidRDefault="00533617" w:rsidP="00533617">
      <w:pPr>
        <w:pStyle w:val="paragraphsub"/>
      </w:pPr>
      <w:r w:rsidRPr="00D525A4">
        <w:tab/>
        <w:t>(i)</w:t>
      </w:r>
      <w:r w:rsidRPr="00D525A4">
        <w:tab/>
        <w:t>the payer in a case where the person who controls the wallet has not been verified; or</w:t>
      </w:r>
    </w:p>
    <w:p w14:paraId="4690AD2F" w14:textId="77777777" w:rsidR="00533617" w:rsidRPr="00D525A4" w:rsidRDefault="00533617" w:rsidP="00533617">
      <w:pPr>
        <w:pStyle w:val="paragraphsub"/>
      </w:pPr>
      <w:r w:rsidRPr="00D525A4">
        <w:tab/>
        <w:t>(ii)</w:t>
      </w:r>
      <w:r w:rsidRPr="00D525A4">
        <w:tab/>
        <w:t>a person not required to be licensed or registered under a law that gives effect to the FATF Recommendations; or</w:t>
      </w:r>
    </w:p>
    <w:p w14:paraId="3750B167" w14:textId="77777777" w:rsidR="00533617" w:rsidRPr="00D525A4" w:rsidRDefault="00533617" w:rsidP="00533617">
      <w:pPr>
        <w:pStyle w:val="paragraphsub"/>
      </w:pPr>
      <w:r w:rsidRPr="00D525A4">
        <w:lastRenderedPageBreak/>
        <w:tab/>
        <w:t>(iii)</w:t>
      </w:r>
      <w:r w:rsidRPr="00D525A4">
        <w:tab/>
        <w:t>a person licensed or registered under a law that gives effect to the FATF Recommendations, in a case where the ordering institution or any intermediary institution is not capable of securely passing on information.</w:t>
      </w:r>
    </w:p>
    <w:p w14:paraId="2DB28147" w14:textId="167ECE37" w:rsidR="00533617" w:rsidRPr="00D525A4" w:rsidRDefault="00533617" w:rsidP="00533617">
      <w:pPr>
        <w:pStyle w:val="notetext"/>
      </w:pPr>
      <w:r w:rsidRPr="00D525A4">
        <w:t>Note:</w:t>
      </w:r>
      <w:r w:rsidRPr="00D525A4">
        <w:tab/>
        <w:t>Sub</w:t>
      </w:r>
      <w:r w:rsidR="0010391B" w:rsidRPr="00D525A4">
        <w:t>section 6</w:t>
      </w:r>
      <w:r w:rsidRPr="00D525A4">
        <w:t>6A(7) of the Act prohibits provision of the service if the person who controls the wallet is required to be licensed or registered under a law that gives effect to the FATF Recommendations, but is not so licensed or registered.</w:t>
      </w:r>
    </w:p>
    <w:p w14:paraId="341657DC" w14:textId="3856401F" w:rsidR="00533617" w:rsidRPr="00D525A4" w:rsidRDefault="00EC097E" w:rsidP="00533617">
      <w:pPr>
        <w:pStyle w:val="ActHead5"/>
      </w:pPr>
      <w:bookmarkStart w:id="90" w:name="_Toc198224978"/>
      <w:r w:rsidRPr="00D525A4">
        <w:rPr>
          <w:rStyle w:val="CharSectno"/>
        </w:rPr>
        <w:t>4</w:t>
      </w:r>
      <w:r w:rsidR="00D525A4">
        <w:rPr>
          <w:rStyle w:val="CharSectno"/>
        </w:rPr>
        <w:noBreakHyphen/>
      </w:r>
      <w:r w:rsidRPr="00D525A4">
        <w:rPr>
          <w:rStyle w:val="CharSectno"/>
        </w:rPr>
        <w:t>15</w:t>
      </w:r>
      <w:r w:rsidR="00533617" w:rsidRPr="00D525A4">
        <w:t xml:space="preserve">  Policies relating to the obligations of intermediary institutions</w:t>
      </w:r>
      <w:bookmarkEnd w:id="90"/>
    </w:p>
    <w:p w14:paraId="58356F4F" w14:textId="235FC8FD" w:rsidR="00533617" w:rsidRPr="00D525A4" w:rsidRDefault="00533617" w:rsidP="00533617">
      <w:pPr>
        <w:pStyle w:val="subsection"/>
      </w:pPr>
      <w:r w:rsidRPr="00D525A4">
        <w:tab/>
      </w:r>
      <w:r w:rsidRPr="00D525A4">
        <w:tab/>
        <w:t xml:space="preserve">For the purposes of </w:t>
      </w:r>
      <w:r w:rsidR="009F59ED" w:rsidRPr="00D525A4">
        <w:t>paragraph 2</w:t>
      </w:r>
      <w:r w:rsidRPr="00D525A4">
        <w:t xml:space="preserve">6F(3)(e) of the Act, the AML/CTF policies of a reporting entity must deal with the following if the reporting entity is to provide a designated service covered by item 31 of table 1 in </w:t>
      </w:r>
      <w:r w:rsidR="0010391B" w:rsidRPr="00D525A4">
        <w:t>section 6</w:t>
      </w:r>
      <w:r w:rsidRPr="00D525A4">
        <w:t xml:space="preserve"> of the Act, as an intermediary institution, in relation to a transfer of value:</w:t>
      </w:r>
    </w:p>
    <w:p w14:paraId="14FC021E" w14:textId="7F0021DF" w:rsidR="00533617" w:rsidRPr="00D525A4" w:rsidRDefault="00533617" w:rsidP="00533617">
      <w:pPr>
        <w:pStyle w:val="paragraph"/>
      </w:pPr>
      <w:r w:rsidRPr="00D525A4">
        <w:tab/>
        <w:t>(a)</w:t>
      </w:r>
      <w:r w:rsidRPr="00D525A4">
        <w:tab/>
        <w:t xml:space="preserve">reasonable steps to monitor whether the reporting entity has received the information specified in </w:t>
      </w:r>
      <w:r w:rsidR="00063594" w:rsidRPr="00D525A4">
        <w:t xml:space="preserve">section </w:t>
      </w:r>
      <w:r w:rsidR="00EC097E" w:rsidRPr="00D525A4">
        <w:t>7</w:t>
      </w:r>
      <w:r w:rsidR="00D525A4">
        <w:noBreakHyphen/>
      </w:r>
      <w:r w:rsidR="00EC097E" w:rsidRPr="00D525A4">
        <w:t>5</w:t>
      </w:r>
      <w:r w:rsidRPr="00D525A4">
        <w:t xml:space="preserve"> relating to the transfer of value;</w:t>
      </w:r>
    </w:p>
    <w:p w14:paraId="22E9F944" w14:textId="5C0D194B" w:rsidR="00533617" w:rsidRPr="00D525A4" w:rsidRDefault="00533617" w:rsidP="00533617">
      <w:pPr>
        <w:pStyle w:val="paragraph"/>
      </w:pPr>
      <w:r w:rsidRPr="00D525A4">
        <w:tab/>
        <w:t>(b)</w:t>
      </w:r>
      <w:r w:rsidRPr="00D525A4">
        <w:tab/>
        <w:t>determining whether to pass on a transfer message for the transfer of value in the circumstances described in sub</w:t>
      </w:r>
      <w:r w:rsidR="0010391B" w:rsidRPr="00D525A4">
        <w:t>section 6</w:t>
      </w:r>
      <w:r w:rsidRPr="00D525A4">
        <w:t>6(3) of the Act;</w:t>
      </w:r>
    </w:p>
    <w:p w14:paraId="050C5A4F" w14:textId="1F5F9503" w:rsidR="00533617" w:rsidRPr="00D525A4" w:rsidRDefault="00533617" w:rsidP="00533617">
      <w:pPr>
        <w:pStyle w:val="paragraph"/>
      </w:pPr>
      <w:r w:rsidRPr="00D525A4">
        <w:tab/>
        <w:t>(c)</w:t>
      </w:r>
      <w:r w:rsidRPr="00D525A4">
        <w:tab/>
        <w:t>determining whether to request further information from another institution in the value transfer chain in the circumstances described in sub</w:t>
      </w:r>
      <w:r w:rsidR="0010391B" w:rsidRPr="00D525A4">
        <w:t>section 6</w:t>
      </w:r>
      <w:r w:rsidRPr="00D525A4">
        <w:t>6(3) of the Act.</w:t>
      </w:r>
    </w:p>
    <w:p w14:paraId="330130FB" w14:textId="43206A89" w:rsidR="00F236AF" w:rsidRPr="00D525A4" w:rsidRDefault="00EC097E" w:rsidP="00F236AF">
      <w:pPr>
        <w:pStyle w:val="ActHead5"/>
      </w:pPr>
      <w:bookmarkStart w:id="91" w:name="_Toc198224979"/>
      <w:r w:rsidRPr="00D525A4">
        <w:rPr>
          <w:rStyle w:val="CharSectno"/>
        </w:rPr>
        <w:t>4</w:t>
      </w:r>
      <w:r w:rsidR="00D525A4">
        <w:rPr>
          <w:rStyle w:val="CharSectno"/>
        </w:rPr>
        <w:noBreakHyphen/>
      </w:r>
      <w:r w:rsidRPr="00D525A4">
        <w:rPr>
          <w:rStyle w:val="CharSectno"/>
        </w:rPr>
        <w:t>16</w:t>
      </w:r>
      <w:r w:rsidR="00F236AF" w:rsidRPr="00D525A4">
        <w:t xml:space="preserve">  Policies relating to customer due diligence for real estate transactions</w:t>
      </w:r>
      <w:bookmarkEnd w:id="91"/>
    </w:p>
    <w:p w14:paraId="4FC0CAED" w14:textId="374F1A1E" w:rsidR="00F236AF" w:rsidRPr="00D525A4" w:rsidRDefault="00F236AF" w:rsidP="00F236AF">
      <w:pPr>
        <w:pStyle w:val="subsection"/>
      </w:pPr>
      <w:r w:rsidRPr="00D525A4">
        <w:tab/>
      </w:r>
      <w:r w:rsidRPr="00D525A4">
        <w:tab/>
        <w:t xml:space="preserve">For the purposes of </w:t>
      </w:r>
      <w:r w:rsidR="009F59ED" w:rsidRPr="00D525A4">
        <w:t>paragraph 2</w:t>
      </w:r>
      <w:r w:rsidRPr="00D525A4">
        <w:t>6F(3)(e) of the Act, the AML/CTF policies of a reporting entity that:</w:t>
      </w:r>
    </w:p>
    <w:p w14:paraId="3235B35A" w14:textId="41524F12" w:rsidR="00F236AF" w:rsidRPr="00D525A4" w:rsidRDefault="00F236AF" w:rsidP="00F236AF">
      <w:pPr>
        <w:pStyle w:val="paragraph"/>
      </w:pPr>
      <w:r w:rsidRPr="00D525A4">
        <w:tab/>
        <w:t>(a)</w:t>
      </w:r>
      <w:r w:rsidRPr="00D525A4">
        <w:tab/>
        <w:t xml:space="preserve">is to provide a designated service covered by </w:t>
      </w:r>
      <w:r w:rsidR="0013261E" w:rsidRPr="00D525A4">
        <w:t>item 1</w:t>
      </w:r>
      <w:r w:rsidRPr="00D525A4">
        <w:t xml:space="preserve"> of table 5 or </w:t>
      </w:r>
      <w:r w:rsidR="0013261E" w:rsidRPr="00D525A4">
        <w:t>item 1</w:t>
      </w:r>
      <w:r w:rsidRPr="00D525A4">
        <w:t xml:space="preserve"> of table 6 in </w:t>
      </w:r>
      <w:r w:rsidR="0010391B" w:rsidRPr="00D525A4">
        <w:t>section 6</w:t>
      </w:r>
      <w:r w:rsidRPr="00D525A4">
        <w:t xml:space="preserve"> of the Act; and</w:t>
      </w:r>
    </w:p>
    <w:p w14:paraId="512E4196" w14:textId="7F8CB037" w:rsidR="00F236AF" w:rsidRPr="00D525A4" w:rsidRDefault="00F236AF" w:rsidP="00F236AF">
      <w:pPr>
        <w:pStyle w:val="paragraph"/>
      </w:pPr>
      <w:r w:rsidRPr="00D525A4">
        <w:tab/>
        <w:t>(b)</w:t>
      </w:r>
      <w:r w:rsidRPr="00D525A4">
        <w:tab/>
        <w:t xml:space="preserve">is a participant in an arrangement of the kind described in paragraph </w:t>
      </w:r>
      <w:r w:rsidR="00EC097E" w:rsidRPr="00D525A4">
        <w:t>5</w:t>
      </w:r>
      <w:r w:rsidR="00D525A4">
        <w:noBreakHyphen/>
      </w:r>
      <w:r w:rsidR="00EC097E" w:rsidRPr="00D525A4">
        <w:t>16</w:t>
      </w:r>
      <w:r w:rsidRPr="00D525A4">
        <w:t>(e) of this instrument;</w:t>
      </w:r>
    </w:p>
    <w:p w14:paraId="21164711" w14:textId="535123FE" w:rsidR="00F236AF" w:rsidRPr="00D525A4" w:rsidRDefault="00F236AF" w:rsidP="00F236AF">
      <w:pPr>
        <w:pStyle w:val="subsection2"/>
      </w:pPr>
      <w:r w:rsidRPr="00D525A4">
        <w:t xml:space="preserve">must deal with how the reporting entity will verify the KYC information the reporting entity has collected in relation to a customer, if the reporting entity does not obtain KYC information and data used for verification in relation to the customer from another reporting entity as described in paragraph </w:t>
      </w:r>
      <w:r w:rsidR="00EC097E" w:rsidRPr="00D525A4">
        <w:t>5</w:t>
      </w:r>
      <w:r w:rsidR="00D525A4">
        <w:noBreakHyphen/>
      </w:r>
      <w:r w:rsidR="00EC097E" w:rsidRPr="00D525A4">
        <w:t>16</w:t>
      </w:r>
      <w:r w:rsidRPr="00D525A4">
        <w:t>(f) of this instrument.</w:t>
      </w:r>
    </w:p>
    <w:p w14:paraId="7DA577A3" w14:textId="6ADEA468" w:rsidR="00110F88" w:rsidRPr="00D525A4" w:rsidRDefault="00EC097E" w:rsidP="00110F88">
      <w:pPr>
        <w:pStyle w:val="ActHead5"/>
      </w:pPr>
      <w:bookmarkStart w:id="92" w:name="_Toc198224980"/>
      <w:r w:rsidRPr="00D525A4">
        <w:rPr>
          <w:rStyle w:val="CharSectno"/>
        </w:rPr>
        <w:t>4</w:t>
      </w:r>
      <w:r w:rsidR="00D525A4">
        <w:rPr>
          <w:rStyle w:val="CharSectno"/>
        </w:rPr>
        <w:noBreakHyphen/>
      </w:r>
      <w:r w:rsidRPr="00D525A4">
        <w:rPr>
          <w:rStyle w:val="CharSectno"/>
        </w:rPr>
        <w:t>17</w:t>
      </w:r>
      <w:r w:rsidR="00110F88" w:rsidRPr="00D525A4">
        <w:t xml:space="preserve">  Record</w:t>
      </w:r>
      <w:r w:rsidR="00D525A4">
        <w:noBreakHyphen/>
      </w:r>
      <w:r w:rsidR="00110F88" w:rsidRPr="00D525A4">
        <w:t>keeping by lead entity of reporting group</w:t>
      </w:r>
      <w:bookmarkEnd w:id="92"/>
    </w:p>
    <w:p w14:paraId="7C4A0461" w14:textId="69586EC8" w:rsidR="00FE6309" w:rsidRPr="00D525A4" w:rsidRDefault="00110F88" w:rsidP="006D4692">
      <w:pPr>
        <w:pStyle w:val="subsection"/>
      </w:pPr>
      <w:r w:rsidRPr="00D525A4">
        <w:tab/>
      </w:r>
      <w:r w:rsidRPr="00D525A4">
        <w:tab/>
        <w:t xml:space="preserve">For the purposes of </w:t>
      </w:r>
      <w:r w:rsidR="009F59ED" w:rsidRPr="00D525A4">
        <w:t>paragraph 2</w:t>
      </w:r>
      <w:r w:rsidRPr="00D525A4">
        <w:t>6F(6)(d) of the Act, the AML/CTF policies of a reporting entity that is the lead entity of a reporting group must deal with keeping up</w:t>
      </w:r>
      <w:r w:rsidR="00D525A4">
        <w:noBreakHyphen/>
      </w:r>
      <w:r w:rsidRPr="00D525A4">
        <w:t>to</w:t>
      </w:r>
      <w:r w:rsidR="00D525A4">
        <w:noBreakHyphen/>
      </w:r>
      <w:r w:rsidRPr="00D525A4">
        <w:t>date records about the membership of the reporting group (including recording changes of membership).</w:t>
      </w:r>
    </w:p>
    <w:p w14:paraId="58A727D1" w14:textId="0B701AEB" w:rsidR="00596AB4" w:rsidRPr="00D525A4" w:rsidRDefault="0013261E" w:rsidP="00596AB4">
      <w:pPr>
        <w:pStyle w:val="ActHead3"/>
        <w:pageBreakBefore/>
      </w:pPr>
      <w:bookmarkStart w:id="93" w:name="_Toc198224981"/>
      <w:r w:rsidRPr="00D525A4">
        <w:rPr>
          <w:rStyle w:val="CharDivNo"/>
        </w:rPr>
        <w:lastRenderedPageBreak/>
        <w:t>Division 3</w:t>
      </w:r>
      <w:r w:rsidR="00596AB4" w:rsidRPr="00D525A4">
        <w:t>—</w:t>
      </w:r>
      <w:r w:rsidR="00596AB4" w:rsidRPr="00D525A4">
        <w:rPr>
          <w:rStyle w:val="CharDivText"/>
        </w:rPr>
        <w:t>AML/CTF compliance officers</w:t>
      </w:r>
      <w:bookmarkEnd w:id="93"/>
    </w:p>
    <w:p w14:paraId="1FAF67B3" w14:textId="06A859D1" w:rsidR="00596AB4" w:rsidRPr="00D525A4" w:rsidRDefault="00EC097E" w:rsidP="00596AB4">
      <w:pPr>
        <w:pStyle w:val="ActHead5"/>
      </w:pPr>
      <w:bookmarkStart w:id="94" w:name="_Toc198224982"/>
      <w:r w:rsidRPr="00D525A4">
        <w:rPr>
          <w:rStyle w:val="CharSectno"/>
        </w:rPr>
        <w:t>4</w:t>
      </w:r>
      <w:r w:rsidR="00D525A4">
        <w:rPr>
          <w:rStyle w:val="CharSectno"/>
        </w:rPr>
        <w:noBreakHyphen/>
      </w:r>
      <w:r w:rsidRPr="00D525A4">
        <w:rPr>
          <w:rStyle w:val="CharSectno"/>
        </w:rPr>
        <w:t>18</w:t>
      </w:r>
      <w:r w:rsidR="00596AB4" w:rsidRPr="00D525A4">
        <w:t xml:space="preserve">  AML/CTF compliance officer requirements—matters to have regard to in determining whether a fit and proper person</w:t>
      </w:r>
      <w:bookmarkEnd w:id="94"/>
    </w:p>
    <w:p w14:paraId="272A11A6" w14:textId="40369394" w:rsidR="00596AB4" w:rsidRPr="00D525A4" w:rsidRDefault="00596AB4" w:rsidP="00596AB4">
      <w:pPr>
        <w:pStyle w:val="subsection"/>
      </w:pPr>
      <w:r w:rsidRPr="00D525A4">
        <w:tab/>
      </w:r>
      <w:r w:rsidR="00B73247" w:rsidRPr="00D525A4">
        <w:t>(1)</w:t>
      </w:r>
      <w:r w:rsidRPr="00D525A4">
        <w:tab/>
        <w:t xml:space="preserve">For the purposes of </w:t>
      </w:r>
      <w:r w:rsidR="0010391B" w:rsidRPr="00D525A4">
        <w:t>subsection 2</w:t>
      </w:r>
      <w:r w:rsidRPr="00D525A4">
        <w:t xml:space="preserve">6J(4) of the Act, a reporting entity must have regard to the following matters in determining whether an individual is a fit and proper person for the purposes of </w:t>
      </w:r>
      <w:r w:rsidR="009F59ED" w:rsidRPr="00D525A4">
        <w:t>paragraph 2</w:t>
      </w:r>
      <w:r w:rsidRPr="00D525A4">
        <w:t>6J(3)(b) of the Act:</w:t>
      </w:r>
    </w:p>
    <w:p w14:paraId="13F3DC0F" w14:textId="22272E0C" w:rsidR="00596AB4" w:rsidRPr="00D525A4" w:rsidRDefault="00596AB4" w:rsidP="00596AB4">
      <w:pPr>
        <w:pStyle w:val="paragraph"/>
      </w:pPr>
      <w:r w:rsidRPr="00D525A4">
        <w:tab/>
        <w:t>(a)</w:t>
      </w:r>
      <w:r w:rsidRPr="00D525A4">
        <w:tab/>
        <w:t xml:space="preserve">whether the individual possesses the </w:t>
      </w:r>
      <w:r w:rsidR="008E24DB" w:rsidRPr="00D525A4">
        <w:t xml:space="preserve">necessary </w:t>
      </w:r>
      <w:r w:rsidR="00D53C9B" w:rsidRPr="00D525A4">
        <w:t xml:space="preserve">competence, </w:t>
      </w:r>
      <w:r w:rsidR="008E24DB" w:rsidRPr="00D525A4">
        <w:t xml:space="preserve">skills, knowledge, </w:t>
      </w:r>
      <w:r w:rsidR="00D53C9B" w:rsidRPr="00D525A4">
        <w:t xml:space="preserve">diligence, </w:t>
      </w:r>
      <w:r w:rsidR="008E24DB" w:rsidRPr="00D525A4">
        <w:t xml:space="preserve">expertise and soundness of judgement to properly perform the duties </w:t>
      </w:r>
      <w:r w:rsidRPr="00D525A4">
        <w:t>of the AML/CTF compliance officer for the reporting entity</w:t>
      </w:r>
      <w:r w:rsidR="00A63AA0" w:rsidRPr="00D525A4">
        <w:t xml:space="preserve"> (also having regard to the nature, size and complexity of the reporting entity)</w:t>
      </w:r>
      <w:r w:rsidRPr="00D525A4">
        <w:t>;</w:t>
      </w:r>
    </w:p>
    <w:p w14:paraId="635EEFDB" w14:textId="2F3F41A5" w:rsidR="008E24DB" w:rsidRPr="00D525A4" w:rsidRDefault="008E24DB" w:rsidP="00596AB4">
      <w:pPr>
        <w:pStyle w:val="paragraph"/>
      </w:pPr>
      <w:r w:rsidRPr="00D525A4">
        <w:tab/>
        <w:t>(b)</w:t>
      </w:r>
      <w:r w:rsidRPr="00D525A4">
        <w:tab/>
        <w:t>whether the individual has the attributes of good character, honesty and integrity;</w:t>
      </w:r>
    </w:p>
    <w:p w14:paraId="0D4DDB42" w14:textId="4E918484" w:rsidR="00596AB4" w:rsidRPr="00D525A4" w:rsidRDefault="00596AB4" w:rsidP="00596AB4">
      <w:pPr>
        <w:pStyle w:val="paragraph"/>
      </w:pPr>
      <w:r w:rsidRPr="00D525A4">
        <w:tab/>
        <w:t>(</w:t>
      </w:r>
      <w:r w:rsidR="008E24DB" w:rsidRPr="00D525A4">
        <w:t>c</w:t>
      </w:r>
      <w:r w:rsidRPr="00D525A4">
        <w:t>)</w:t>
      </w:r>
      <w:r w:rsidRPr="00D525A4">
        <w:tab/>
        <w:t>whether the individual has been convicted of a serious offence;</w:t>
      </w:r>
    </w:p>
    <w:p w14:paraId="7EE1221A" w14:textId="695F7347" w:rsidR="00596AB4" w:rsidRPr="00D525A4" w:rsidRDefault="00596AB4" w:rsidP="00596AB4">
      <w:pPr>
        <w:pStyle w:val="paragraph"/>
      </w:pPr>
      <w:r w:rsidRPr="00D525A4">
        <w:tab/>
        <w:t>(</w:t>
      </w:r>
      <w:r w:rsidR="008E24DB" w:rsidRPr="00D525A4">
        <w:t>d</w:t>
      </w:r>
      <w:r w:rsidRPr="00D525A4">
        <w:t>)</w:t>
      </w:r>
      <w:r w:rsidRPr="00D525A4">
        <w:tab/>
        <w:t>whether the individual has been the subject of adverse findings, or found to have engaged in serious misconduct, by a regulatory body in Australia or a foreign country;</w:t>
      </w:r>
    </w:p>
    <w:p w14:paraId="1DE64951" w14:textId="622CD315" w:rsidR="00596AB4" w:rsidRPr="00D525A4" w:rsidRDefault="00596AB4" w:rsidP="00596AB4">
      <w:pPr>
        <w:pStyle w:val="paragraph"/>
      </w:pPr>
      <w:r w:rsidRPr="00D525A4">
        <w:tab/>
        <w:t>(</w:t>
      </w:r>
      <w:r w:rsidR="008E24DB" w:rsidRPr="00D525A4">
        <w:t>e</w:t>
      </w:r>
      <w:r w:rsidRPr="00D525A4">
        <w:t>)</w:t>
      </w:r>
      <w:r w:rsidRPr="00D525A4">
        <w:tab/>
        <w:t>whether the individual is an undischarged bankrupt under the law of Australia or a foreign country;</w:t>
      </w:r>
    </w:p>
    <w:p w14:paraId="2697644C" w14:textId="7D4870C4" w:rsidR="00596AB4" w:rsidRPr="00D525A4" w:rsidRDefault="00596AB4" w:rsidP="00596AB4">
      <w:pPr>
        <w:pStyle w:val="paragraph"/>
      </w:pPr>
      <w:r w:rsidRPr="00D525A4">
        <w:tab/>
        <w:t>(</w:t>
      </w:r>
      <w:r w:rsidR="008E24DB" w:rsidRPr="00D525A4">
        <w:t>f</w:t>
      </w:r>
      <w:r w:rsidRPr="00D525A4">
        <w:t>)</w:t>
      </w:r>
      <w:r w:rsidRPr="00D525A4">
        <w:tab/>
        <w:t xml:space="preserve">whether the individual has executed a personal insolvency agreement under </w:t>
      </w:r>
      <w:r w:rsidR="00606BBD" w:rsidRPr="00D525A4">
        <w:t>Part X</w:t>
      </w:r>
      <w:r w:rsidRPr="00D525A4">
        <w:t xml:space="preserve"> of the </w:t>
      </w:r>
      <w:r w:rsidRPr="00D525A4">
        <w:rPr>
          <w:i/>
        </w:rPr>
        <w:t>Bankruptcy Act 1966</w:t>
      </w:r>
      <w:r w:rsidRPr="00D525A4">
        <w:t xml:space="preserve"> or a similar law of a foreign country;</w:t>
      </w:r>
    </w:p>
    <w:p w14:paraId="18EF701C" w14:textId="27A1BE48" w:rsidR="00596AB4" w:rsidRPr="00D525A4" w:rsidRDefault="00596AB4" w:rsidP="00596AB4">
      <w:pPr>
        <w:pStyle w:val="paragraph"/>
      </w:pPr>
      <w:r w:rsidRPr="00D525A4">
        <w:tab/>
        <w:t>(</w:t>
      </w:r>
      <w:r w:rsidR="008E24DB" w:rsidRPr="00D525A4">
        <w:t>g</w:t>
      </w:r>
      <w:r w:rsidRPr="00D525A4">
        <w:t>)</w:t>
      </w:r>
      <w:r w:rsidRPr="00D525A4">
        <w:tab/>
        <w:t>whether the individual has a conflict of interest that will create a material risk that the individual will fail to properly perform the duties of the AML/CTF compliance officer for the reporting entity.</w:t>
      </w:r>
    </w:p>
    <w:p w14:paraId="34AC9400" w14:textId="634AC2CA" w:rsidR="00596AB4" w:rsidRPr="00D525A4" w:rsidRDefault="00B73247" w:rsidP="00B73247">
      <w:pPr>
        <w:pStyle w:val="subsection"/>
      </w:pPr>
      <w:r w:rsidRPr="00D525A4">
        <w:tab/>
        <w:t>(2)</w:t>
      </w:r>
      <w:r w:rsidRPr="00D525A4">
        <w:tab/>
      </w:r>
      <w:r w:rsidR="00B736A2" w:rsidRPr="00D525A4">
        <w:t>Paragraph </w:t>
      </w:r>
      <w:r w:rsidR="009F59ED" w:rsidRPr="00D525A4">
        <w:t>(1)</w:t>
      </w:r>
      <w:r w:rsidR="00B736A2" w:rsidRPr="00D525A4">
        <w:t>(</w:t>
      </w:r>
      <w:r w:rsidR="008E24DB" w:rsidRPr="00D525A4">
        <w:t>c</w:t>
      </w:r>
      <w:r w:rsidR="00596AB4" w:rsidRPr="00D525A4">
        <w:t>)</w:t>
      </w:r>
      <w:r w:rsidR="009F59ED" w:rsidRPr="00D525A4">
        <w:t xml:space="preserve"> of this section</w:t>
      </w:r>
      <w:r w:rsidR="00596AB4" w:rsidRPr="00D525A4">
        <w:t xml:space="preserve"> does not affect the operation of </w:t>
      </w:r>
      <w:r w:rsidR="00606BBD" w:rsidRPr="00D525A4">
        <w:t>Part V</w:t>
      </w:r>
      <w:r w:rsidR="00596AB4" w:rsidRPr="00D525A4">
        <w:t xml:space="preserve">IIC of the </w:t>
      </w:r>
      <w:r w:rsidR="00596AB4" w:rsidRPr="00D525A4">
        <w:rPr>
          <w:i/>
        </w:rPr>
        <w:t>Crimes Act 1914</w:t>
      </w:r>
      <w:r w:rsidRPr="00D525A4">
        <w:rPr>
          <w:iCs/>
        </w:rPr>
        <w:t xml:space="preserve"> (</w:t>
      </w:r>
      <w:r w:rsidR="00596AB4" w:rsidRPr="00D525A4">
        <w:t>which includes provisions that, in certain circumstances, relieve persons from the requirement to disclose spent convictions and require persons aware of such convictions to disregard them</w:t>
      </w:r>
      <w:r w:rsidRPr="00D525A4">
        <w:t>)</w:t>
      </w:r>
      <w:r w:rsidR="00596AB4" w:rsidRPr="00D525A4">
        <w:t>.</w:t>
      </w:r>
    </w:p>
    <w:p w14:paraId="5BB695D2" w14:textId="7ED78D09" w:rsidR="00596AB4" w:rsidRPr="00D525A4" w:rsidRDefault="0013261E" w:rsidP="00596AB4">
      <w:pPr>
        <w:pStyle w:val="ActHead3"/>
        <w:pageBreakBefore/>
      </w:pPr>
      <w:bookmarkStart w:id="95" w:name="_Toc198224983"/>
      <w:r w:rsidRPr="00D525A4">
        <w:rPr>
          <w:rStyle w:val="CharDivNo"/>
        </w:rPr>
        <w:lastRenderedPageBreak/>
        <w:t>Division 4</w:t>
      </w:r>
      <w:r w:rsidR="00596AB4" w:rsidRPr="00D525A4">
        <w:t>—</w:t>
      </w:r>
      <w:r w:rsidR="00596AB4" w:rsidRPr="00D525A4">
        <w:rPr>
          <w:rStyle w:val="CharDivText"/>
        </w:rPr>
        <w:t>AML/CTF program documentation</w:t>
      </w:r>
      <w:bookmarkEnd w:id="95"/>
    </w:p>
    <w:p w14:paraId="069E809E" w14:textId="2C637C2C" w:rsidR="00596AB4" w:rsidRPr="00D525A4" w:rsidRDefault="00EC097E" w:rsidP="00596AB4">
      <w:pPr>
        <w:pStyle w:val="ActHead5"/>
      </w:pPr>
      <w:bookmarkStart w:id="96" w:name="_Toc198224984"/>
      <w:r w:rsidRPr="00D525A4">
        <w:rPr>
          <w:rStyle w:val="CharSectno"/>
        </w:rPr>
        <w:t>4</w:t>
      </w:r>
      <w:r w:rsidR="00D525A4">
        <w:rPr>
          <w:rStyle w:val="CharSectno"/>
        </w:rPr>
        <w:noBreakHyphen/>
      </w:r>
      <w:r w:rsidRPr="00D525A4">
        <w:rPr>
          <w:rStyle w:val="CharSectno"/>
        </w:rPr>
        <w:t>19</w:t>
      </w:r>
      <w:r w:rsidR="00596AB4" w:rsidRPr="00D525A4">
        <w:t xml:space="preserve">  Time period for AML/CTF program documentation</w:t>
      </w:r>
      <w:bookmarkEnd w:id="96"/>
    </w:p>
    <w:p w14:paraId="09B8F363" w14:textId="47897A0C" w:rsidR="00596AB4" w:rsidRPr="00D525A4" w:rsidRDefault="00596AB4" w:rsidP="00596AB4">
      <w:pPr>
        <w:pStyle w:val="subsection"/>
      </w:pPr>
      <w:r w:rsidRPr="00D525A4">
        <w:tab/>
        <w:t>(1)</w:t>
      </w:r>
      <w:r w:rsidRPr="00D525A4">
        <w:tab/>
        <w:t xml:space="preserve">For the purposes of </w:t>
      </w:r>
      <w:r w:rsidR="0010391B" w:rsidRPr="00D525A4">
        <w:t>subsection 2</w:t>
      </w:r>
      <w:r w:rsidRPr="00D525A4">
        <w:t>6N(1) of the Act, a reporting entity must document:</w:t>
      </w:r>
    </w:p>
    <w:p w14:paraId="175DC31B" w14:textId="4A220450" w:rsidR="00596AB4" w:rsidRPr="00D525A4" w:rsidRDefault="00596AB4" w:rsidP="00596AB4">
      <w:pPr>
        <w:pStyle w:val="paragraph"/>
      </w:pPr>
      <w:r w:rsidRPr="00D525A4">
        <w:tab/>
        <w:t>(a)</w:t>
      </w:r>
      <w:r w:rsidRPr="00D525A4">
        <w:tab/>
        <w:t xml:space="preserve">the ML/TF risk assessment undertaken by the reporting entity under </w:t>
      </w:r>
      <w:r w:rsidR="0010391B" w:rsidRPr="00D525A4">
        <w:t>section 2</w:t>
      </w:r>
      <w:r w:rsidRPr="00D525A4">
        <w:t>6C of the Act; and</w:t>
      </w:r>
    </w:p>
    <w:p w14:paraId="0312A7BF" w14:textId="72B0684E" w:rsidR="00596AB4" w:rsidRPr="00D525A4" w:rsidRDefault="00596AB4" w:rsidP="00596AB4">
      <w:pPr>
        <w:pStyle w:val="paragraph"/>
      </w:pPr>
      <w:r w:rsidRPr="00D525A4">
        <w:tab/>
        <w:t>(b)</w:t>
      </w:r>
      <w:r w:rsidRPr="00D525A4">
        <w:tab/>
        <w:t xml:space="preserve">the AML/CTF policies developed by the reporting entity under </w:t>
      </w:r>
      <w:r w:rsidR="0010391B" w:rsidRPr="00D525A4">
        <w:t>section 2</w:t>
      </w:r>
      <w:r w:rsidRPr="00D525A4">
        <w:t>6F of the Act;</w:t>
      </w:r>
    </w:p>
    <w:p w14:paraId="7DBA020E" w14:textId="77777777" w:rsidR="00596AB4" w:rsidRPr="00D525A4" w:rsidRDefault="00596AB4" w:rsidP="00596AB4">
      <w:pPr>
        <w:pStyle w:val="subsection2"/>
      </w:pPr>
      <w:r w:rsidRPr="00D525A4">
        <w:t>within the period ending immediately before the reporting entity first commences providing a designated service to a customer.</w:t>
      </w:r>
    </w:p>
    <w:p w14:paraId="63EDD1B7" w14:textId="7FB0EA39" w:rsidR="00596AB4" w:rsidRPr="00D525A4" w:rsidRDefault="00596AB4" w:rsidP="00596AB4">
      <w:pPr>
        <w:pStyle w:val="subsection"/>
      </w:pPr>
      <w:r w:rsidRPr="00D525A4">
        <w:tab/>
        <w:t>(2)</w:t>
      </w:r>
      <w:r w:rsidRPr="00D525A4">
        <w:tab/>
        <w:t xml:space="preserve">For the purposes of </w:t>
      </w:r>
      <w:r w:rsidR="0010391B" w:rsidRPr="00D525A4">
        <w:t>subsection 2</w:t>
      </w:r>
      <w:r w:rsidRPr="00D525A4">
        <w:t>6N(1) of the Act, if a reporting entity:</w:t>
      </w:r>
    </w:p>
    <w:p w14:paraId="35934959" w14:textId="177F2B89" w:rsidR="00596AB4" w:rsidRPr="00D525A4" w:rsidRDefault="00596AB4" w:rsidP="00596AB4">
      <w:pPr>
        <w:pStyle w:val="paragraph"/>
      </w:pPr>
      <w:r w:rsidRPr="00D525A4">
        <w:tab/>
        <w:t>(a)</w:t>
      </w:r>
      <w:r w:rsidRPr="00D525A4">
        <w:tab/>
        <w:t xml:space="preserve">updates its ML/TF risk assessment under </w:t>
      </w:r>
      <w:r w:rsidR="0010391B" w:rsidRPr="00D525A4">
        <w:t>section 2</w:t>
      </w:r>
      <w:r w:rsidRPr="00D525A4">
        <w:t>6D of the Act; or</w:t>
      </w:r>
    </w:p>
    <w:p w14:paraId="6E71BC70" w14:textId="77777777" w:rsidR="00596AB4" w:rsidRPr="00D525A4" w:rsidRDefault="00596AB4" w:rsidP="00596AB4">
      <w:pPr>
        <w:pStyle w:val="paragraph"/>
      </w:pPr>
      <w:r w:rsidRPr="00D525A4">
        <w:tab/>
        <w:t>(b)</w:t>
      </w:r>
      <w:r w:rsidRPr="00D525A4">
        <w:tab/>
        <w:t>updates its AML/CTF policies;</w:t>
      </w:r>
    </w:p>
    <w:p w14:paraId="505F67E4" w14:textId="792150A4" w:rsidR="00596AB4" w:rsidRPr="00D525A4" w:rsidRDefault="00596AB4" w:rsidP="00E907A2">
      <w:pPr>
        <w:pStyle w:val="subsection2"/>
      </w:pPr>
      <w:r w:rsidRPr="00D525A4">
        <w:t xml:space="preserve">the reporting entity must document its AML/CTF program (as updated) within </w:t>
      </w:r>
      <w:r w:rsidR="00E907A2" w:rsidRPr="00D525A4">
        <w:t>14 days</w:t>
      </w:r>
      <w:r w:rsidRPr="00D525A4">
        <w:t xml:space="preserve"> after the update occurs.</w:t>
      </w:r>
    </w:p>
    <w:p w14:paraId="772168FF" w14:textId="1C94C14A" w:rsidR="00D86399" w:rsidRPr="00D525A4" w:rsidRDefault="0010391B" w:rsidP="00D86399">
      <w:pPr>
        <w:pStyle w:val="ActHead2"/>
        <w:pageBreakBefore/>
      </w:pPr>
      <w:bookmarkStart w:id="97" w:name="_Toc198224985"/>
      <w:r w:rsidRPr="00D525A4">
        <w:rPr>
          <w:rStyle w:val="CharPartNo"/>
        </w:rPr>
        <w:lastRenderedPageBreak/>
        <w:t>Part 5</w:t>
      </w:r>
      <w:r w:rsidR="00D86399" w:rsidRPr="00D525A4">
        <w:t>—</w:t>
      </w:r>
      <w:r w:rsidR="00D86399" w:rsidRPr="00D525A4">
        <w:rPr>
          <w:rStyle w:val="CharPartText"/>
        </w:rPr>
        <w:t>Customer due diligence</w:t>
      </w:r>
      <w:bookmarkEnd w:id="97"/>
    </w:p>
    <w:p w14:paraId="0A7BFB8B" w14:textId="29106F46" w:rsidR="00C42195" w:rsidRPr="00D525A4" w:rsidRDefault="00270E8B" w:rsidP="00A25E52">
      <w:pPr>
        <w:pStyle w:val="ActHead3"/>
      </w:pPr>
      <w:bookmarkStart w:id="98" w:name="_Toc198224986"/>
      <w:r w:rsidRPr="00D525A4">
        <w:rPr>
          <w:rStyle w:val="CharDivNo"/>
        </w:rPr>
        <w:t>Division 1</w:t>
      </w:r>
      <w:r w:rsidR="00C42195" w:rsidRPr="00D525A4">
        <w:t>—</w:t>
      </w:r>
      <w:r w:rsidR="000F52AC" w:rsidRPr="00D525A4">
        <w:rPr>
          <w:rStyle w:val="CharDivText"/>
        </w:rPr>
        <w:t>Matters to be established in initial customer due diligence</w:t>
      </w:r>
      <w:bookmarkEnd w:id="98"/>
    </w:p>
    <w:p w14:paraId="5FA0A8F1" w14:textId="4EC35D53" w:rsidR="00EC20CD" w:rsidRPr="00D525A4" w:rsidRDefault="00EC097E" w:rsidP="00EC20CD">
      <w:pPr>
        <w:pStyle w:val="ActHead5"/>
      </w:pPr>
      <w:bookmarkStart w:id="99" w:name="_Toc198224987"/>
      <w:r w:rsidRPr="00D525A4">
        <w:rPr>
          <w:rStyle w:val="CharSectno"/>
        </w:rPr>
        <w:t>5</w:t>
      </w:r>
      <w:r w:rsidR="00D525A4">
        <w:rPr>
          <w:rStyle w:val="CharSectno"/>
        </w:rPr>
        <w:noBreakHyphen/>
      </w:r>
      <w:r w:rsidRPr="00D525A4">
        <w:rPr>
          <w:rStyle w:val="CharSectno"/>
        </w:rPr>
        <w:t>1</w:t>
      </w:r>
      <w:r w:rsidR="00EC20CD" w:rsidRPr="00D525A4">
        <w:t xml:space="preserve">  Establishing the identity of the customer</w:t>
      </w:r>
      <w:bookmarkEnd w:id="99"/>
    </w:p>
    <w:p w14:paraId="4163C3F0" w14:textId="1E231E9F" w:rsidR="00C812C7" w:rsidRPr="00D525A4" w:rsidRDefault="00EC20CD" w:rsidP="00E56542">
      <w:pPr>
        <w:pStyle w:val="subsection"/>
      </w:pPr>
      <w:r w:rsidRPr="00D525A4">
        <w:tab/>
        <w:t>(1)</w:t>
      </w:r>
      <w:r w:rsidRPr="00D525A4">
        <w:tab/>
        <w:t xml:space="preserve">For the purposes of </w:t>
      </w:r>
      <w:r w:rsidR="009F59ED" w:rsidRPr="00D525A4">
        <w:t>paragraph 2</w:t>
      </w:r>
      <w:r w:rsidRPr="00D525A4">
        <w:t xml:space="preserve">8(6)(a) of the Act, </w:t>
      </w:r>
      <w:r w:rsidR="00C812C7" w:rsidRPr="00D525A4">
        <w:t>the</w:t>
      </w:r>
      <w:r w:rsidRPr="00D525A4">
        <w:t xml:space="preserve"> requirements</w:t>
      </w:r>
      <w:r w:rsidR="00C812C7" w:rsidRPr="00D525A4">
        <w:t xml:space="preserve"> in this section apply</w:t>
      </w:r>
      <w:r w:rsidRPr="00D525A4">
        <w:t xml:space="preserve"> in relation to </w:t>
      </w:r>
      <w:r w:rsidR="00E006EB" w:rsidRPr="00D525A4">
        <w:t xml:space="preserve">a reporting entity </w:t>
      </w:r>
      <w:r w:rsidRPr="00D525A4">
        <w:t xml:space="preserve">establishing on reasonable grounds the matter </w:t>
      </w:r>
      <w:r w:rsidR="00EA7626" w:rsidRPr="00D525A4">
        <w:t xml:space="preserve">mentioned </w:t>
      </w:r>
      <w:r w:rsidRPr="00D525A4">
        <w:t xml:space="preserve">in </w:t>
      </w:r>
      <w:r w:rsidR="009F59ED" w:rsidRPr="00D525A4">
        <w:t>paragraph 2</w:t>
      </w:r>
      <w:r w:rsidRPr="00D525A4">
        <w:t>8(2)(a) of the Act (the identity of the customer)</w:t>
      </w:r>
      <w:r w:rsidR="00C812C7" w:rsidRPr="00D525A4">
        <w:t xml:space="preserve"> if:</w:t>
      </w:r>
    </w:p>
    <w:p w14:paraId="09424BEC" w14:textId="5BF0F451" w:rsidR="00C812C7" w:rsidRPr="00D525A4" w:rsidRDefault="00C812C7" w:rsidP="00C812C7">
      <w:pPr>
        <w:pStyle w:val="paragraph"/>
      </w:pPr>
      <w:r w:rsidRPr="00D525A4">
        <w:tab/>
        <w:t>(</w:t>
      </w:r>
      <w:r w:rsidR="00E56542" w:rsidRPr="00D525A4">
        <w:t>a</w:t>
      </w:r>
      <w:r w:rsidRPr="00D525A4">
        <w:t>)</w:t>
      </w:r>
      <w:r w:rsidRPr="00D525A4">
        <w:tab/>
        <w:t>either:</w:t>
      </w:r>
    </w:p>
    <w:p w14:paraId="26B4988A" w14:textId="77777777" w:rsidR="00C812C7" w:rsidRPr="00D525A4" w:rsidRDefault="00C812C7" w:rsidP="00C812C7">
      <w:pPr>
        <w:pStyle w:val="paragraphsub"/>
      </w:pPr>
      <w:r w:rsidRPr="00D525A4">
        <w:tab/>
        <w:t>(i)</w:t>
      </w:r>
      <w:r w:rsidRPr="00D525A4">
        <w:tab/>
        <w:t>the customer is a person other than an individual; or</w:t>
      </w:r>
    </w:p>
    <w:p w14:paraId="54855068" w14:textId="5271CC77" w:rsidR="00C812C7" w:rsidRPr="00D525A4" w:rsidRDefault="00C812C7" w:rsidP="00C812C7">
      <w:pPr>
        <w:pStyle w:val="paragraphsub"/>
      </w:pPr>
      <w:r w:rsidRPr="00D525A4">
        <w:tab/>
        <w:t>(ii)</w:t>
      </w:r>
      <w:r w:rsidRPr="00D525A4">
        <w:tab/>
        <w:t>the provision of a designated service is proposed to relate to the customer’s conduct of a business</w:t>
      </w:r>
      <w:r w:rsidR="00E56542" w:rsidRPr="00D525A4">
        <w:t>; and</w:t>
      </w:r>
    </w:p>
    <w:p w14:paraId="5AFC89D4" w14:textId="727027B2" w:rsidR="00E56542" w:rsidRPr="00D525A4" w:rsidRDefault="00E56542" w:rsidP="00E56542">
      <w:pPr>
        <w:pStyle w:val="paragraph"/>
      </w:pPr>
      <w:r w:rsidRPr="00D525A4">
        <w:tab/>
        <w:t>(b)</w:t>
      </w:r>
      <w:r w:rsidRPr="00D525A4">
        <w:tab/>
        <w:t>a designated service is proposed to be provided by the reporting entity to the customer at or through a permanent establishment of the reporting entity in Australia.</w:t>
      </w:r>
    </w:p>
    <w:p w14:paraId="49C9D05A" w14:textId="04671655" w:rsidR="00EC20CD" w:rsidRPr="00D525A4" w:rsidRDefault="00C812C7" w:rsidP="00C812C7">
      <w:pPr>
        <w:pStyle w:val="subsection"/>
      </w:pPr>
      <w:r w:rsidRPr="00D525A4">
        <w:tab/>
        <w:t>(2)</w:t>
      </w:r>
      <w:r w:rsidRPr="00D525A4">
        <w:tab/>
        <w:t>T</w:t>
      </w:r>
      <w:r w:rsidR="00EC20CD" w:rsidRPr="00D525A4">
        <w:t xml:space="preserve">he reporting entity must </w:t>
      </w:r>
      <w:r w:rsidR="00A63AA0" w:rsidRPr="00D525A4">
        <w:t>establish on reasonable grounds the following</w:t>
      </w:r>
      <w:r w:rsidR="00EC20CD" w:rsidRPr="00D525A4">
        <w:t xml:space="preserve"> information about the customer:</w:t>
      </w:r>
    </w:p>
    <w:p w14:paraId="5E4AF7D7" w14:textId="5D2168EC" w:rsidR="00EC20CD" w:rsidRPr="00D525A4" w:rsidRDefault="00EC20CD" w:rsidP="00C812C7">
      <w:pPr>
        <w:pStyle w:val="paragraph"/>
      </w:pPr>
      <w:r w:rsidRPr="00D525A4">
        <w:tab/>
        <w:t>(a)</w:t>
      </w:r>
      <w:r w:rsidRPr="00D525A4">
        <w:tab/>
        <w:t xml:space="preserve">the customer’s </w:t>
      </w:r>
      <w:r w:rsidR="000002BC" w:rsidRPr="00D525A4">
        <w:t xml:space="preserve">full </w:t>
      </w:r>
      <w:r w:rsidRPr="00D525A4">
        <w:t>name</w:t>
      </w:r>
      <w:r w:rsidR="00C812C7" w:rsidRPr="00D525A4">
        <w:t xml:space="preserve">, </w:t>
      </w:r>
      <w:r w:rsidR="00B11711" w:rsidRPr="00D525A4">
        <w:t>and</w:t>
      </w:r>
      <w:r w:rsidR="00C812C7" w:rsidRPr="00D525A4">
        <w:t xml:space="preserve"> </w:t>
      </w:r>
      <w:r w:rsidRPr="00D525A4">
        <w:t xml:space="preserve">any </w:t>
      </w:r>
      <w:r w:rsidR="00104CD3" w:rsidRPr="00D525A4">
        <w:t xml:space="preserve">business </w:t>
      </w:r>
      <w:r w:rsidRPr="00D525A4">
        <w:t>name</w:t>
      </w:r>
      <w:r w:rsidR="00104CD3" w:rsidRPr="00D525A4">
        <w:t>s</w:t>
      </w:r>
      <w:r w:rsidR="00E006EB" w:rsidRPr="00D525A4">
        <w:t xml:space="preserve"> of the customer</w:t>
      </w:r>
      <w:r w:rsidRPr="00D525A4">
        <w:t>;</w:t>
      </w:r>
    </w:p>
    <w:p w14:paraId="7D12E990" w14:textId="688585B0" w:rsidR="00EC20CD" w:rsidRPr="00D525A4" w:rsidRDefault="00C812C7" w:rsidP="007D4DE3">
      <w:pPr>
        <w:pStyle w:val="paragraph"/>
      </w:pPr>
      <w:r w:rsidRPr="00D525A4">
        <w:tab/>
        <w:t>(b)</w:t>
      </w:r>
      <w:r w:rsidRPr="00D525A4">
        <w:tab/>
        <w:t xml:space="preserve">a unique </w:t>
      </w:r>
      <w:r w:rsidR="007D4DE3" w:rsidRPr="00D525A4">
        <w:t>identifier for</w:t>
      </w:r>
      <w:r w:rsidRPr="00D525A4">
        <w:t xml:space="preserve"> the</w:t>
      </w:r>
      <w:r w:rsidR="00B11711" w:rsidRPr="00D525A4">
        <w:t xml:space="preserve"> customer</w:t>
      </w:r>
      <w:r w:rsidR="00376A9B" w:rsidRPr="00D525A4">
        <w:t xml:space="preserve"> (if any has been given)</w:t>
      </w:r>
      <w:r w:rsidR="007D4DE3" w:rsidRPr="00D525A4">
        <w:t>;</w:t>
      </w:r>
    </w:p>
    <w:p w14:paraId="5997402F" w14:textId="77777777" w:rsidR="00EC20CD" w:rsidRPr="00D525A4" w:rsidRDefault="00EC20CD" w:rsidP="00EC20CD">
      <w:pPr>
        <w:pStyle w:val="paragraph"/>
      </w:pPr>
      <w:r w:rsidRPr="00D525A4">
        <w:tab/>
        <w:t>(c)</w:t>
      </w:r>
      <w:r w:rsidRPr="00D525A4">
        <w:tab/>
        <w:t>the address of any registered office of the customer;</w:t>
      </w:r>
    </w:p>
    <w:p w14:paraId="1A86231E" w14:textId="77777777" w:rsidR="00EC20CD" w:rsidRPr="00D525A4" w:rsidRDefault="00EC20CD" w:rsidP="00EC20CD">
      <w:pPr>
        <w:pStyle w:val="paragraph"/>
      </w:pPr>
      <w:r w:rsidRPr="00D525A4">
        <w:tab/>
        <w:t>(d)</w:t>
      </w:r>
      <w:r w:rsidRPr="00D525A4">
        <w:tab/>
        <w:t>the address of any principal place of business or operations of the customer.</w:t>
      </w:r>
    </w:p>
    <w:p w14:paraId="5CDAA1E4" w14:textId="55121762" w:rsidR="001C2BFE" w:rsidRPr="00D525A4" w:rsidRDefault="00EC097E" w:rsidP="001C2BFE">
      <w:pPr>
        <w:pStyle w:val="ActHead5"/>
      </w:pPr>
      <w:bookmarkStart w:id="100" w:name="_Toc198224988"/>
      <w:r w:rsidRPr="00D525A4">
        <w:rPr>
          <w:rStyle w:val="CharSectno"/>
        </w:rPr>
        <w:t>5</w:t>
      </w:r>
      <w:r w:rsidR="00D525A4">
        <w:rPr>
          <w:rStyle w:val="CharSectno"/>
        </w:rPr>
        <w:noBreakHyphen/>
      </w:r>
      <w:r w:rsidRPr="00D525A4">
        <w:rPr>
          <w:rStyle w:val="CharSectno"/>
        </w:rPr>
        <w:t>2</w:t>
      </w:r>
      <w:r w:rsidR="001C2BFE" w:rsidRPr="00D525A4">
        <w:t xml:space="preserve">  Additional matters for initial customer due diligence</w:t>
      </w:r>
      <w:bookmarkEnd w:id="100"/>
    </w:p>
    <w:p w14:paraId="4A819D04" w14:textId="77777777" w:rsidR="001C2BFE" w:rsidRPr="00D525A4" w:rsidRDefault="001C2BFE" w:rsidP="001C2BFE">
      <w:pPr>
        <w:pStyle w:val="SubsectionHead"/>
      </w:pPr>
      <w:r w:rsidRPr="00D525A4">
        <w:t>Scope of section</w:t>
      </w:r>
    </w:p>
    <w:p w14:paraId="69717F96" w14:textId="5D5F8BD9" w:rsidR="001C2BFE" w:rsidRPr="00D525A4" w:rsidRDefault="001C2BFE" w:rsidP="001C2BFE">
      <w:pPr>
        <w:pStyle w:val="subsection"/>
      </w:pPr>
      <w:r w:rsidRPr="00D525A4">
        <w:tab/>
        <w:t>(1)</w:t>
      </w:r>
      <w:r w:rsidRPr="00D525A4">
        <w:tab/>
        <w:t xml:space="preserve">For the purposes of </w:t>
      </w:r>
      <w:r w:rsidR="009F59ED" w:rsidRPr="00D525A4">
        <w:t>paragraph 2</w:t>
      </w:r>
      <w:r w:rsidRPr="00D525A4">
        <w:t>8(2)(g) of the Act, this section specifies matters in relation to a customer if the reporting entity provides its designated services at or through a permanent establishment of the reporting entity in Australia.</w:t>
      </w:r>
    </w:p>
    <w:p w14:paraId="4238953A" w14:textId="14ED90B5" w:rsidR="001C2BFE" w:rsidRPr="00D525A4" w:rsidRDefault="008D3A7B" w:rsidP="001C2BFE">
      <w:pPr>
        <w:pStyle w:val="SubsectionHead"/>
      </w:pPr>
      <w:r w:rsidRPr="00D525A4">
        <w:t>Customer that is a business</w:t>
      </w:r>
    </w:p>
    <w:p w14:paraId="0FC1B5F4" w14:textId="77777777" w:rsidR="001C2BFE" w:rsidRPr="00D525A4" w:rsidRDefault="001C2BFE" w:rsidP="001C2BFE">
      <w:pPr>
        <w:pStyle w:val="subsection"/>
      </w:pPr>
      <w:r w:rsidRPr="00D525A4">
        <w:tab/>
        <w:t>(2)</w:t>
      </w:r>
      <w:r w:rsidRPr="00D525A4">
        <w:tab/>
        <w:t>If the provision of a designated service is proposed to relate to the customer’s conduct of a business, a specified matter is the nature of the customer’s business.</w:t>
      </w:r>
    </w:p>
    <w:p w14:paraId="156E09FD" w14:textId="77777777" w:rsidR="001C2BFE" w:rsidRPr="00D525A4" w:rsidRDefault="001C2BFE" w:rsidP="001C2BFE">
      <w:pPr>
        <w:pStyle w:val="SubsectionHead"/>
      </w:pPr>
      <w:r w:rsidRPr="00D525A4">
        <w:t>Ownership and control etc.</w:t>
      </w:r>
    </w:p>
    <w:p w14:paraId="1195FAB9" w14:textId="03276296" w:rsidR="003E5879" w:rsidRPr="00D525A4" w:rsidRDefault="001C2BFE" w:rsidP="001C2BFE">
      <w:pPr>
        <w:pStyle w:val="subsection"/>
      </w:pPr>
      <w:r w:rsidRPr="00D525A4">
        <w:tab/>
        <w:t>(3)</w:t>
      </w:r>
      <w:r w:rsidRPr="00D525A4">
        <w:tab/>
        <w:t xml:space="preserve">For any customer other than an individual or a government body, </w:t>
      </w:r>
      <w:r w:rsidR="003E5879" w:rsidRPr="00D525A4">
        <w:t>the following matters are specified:</w:t>
      </w:r>
    </w:p>
    <w:p w14:paraId="26795807" w14:textId="56C77254" w:rsidR="003E5879" w:rsidRPr="00D525A4" w:rsidRDefault="003E5879" w:rsidP="003E5879">
      <w:pPr>
        <w:pStyle w:val="paragraph"/>
      </w:pPr>
      <w:r w:rsidRPr="00D525A4">
        <w:tab/>
        <w:t>(a)</w:t>
      </w:r>
      <w:r w:rsidRPr="00D525A4">
        <w:tab/>
        <w:t>the legal form of the customer (such as a partnership, company or trust);</w:t>
      </w:r>
    </w:p>
    <w:p w14:paraId="096977F3" w14:textId="5E5EB963" w:rsidR="008804C0" w:rsidRPr="00D525A4" w:rsidRDefault="008A1AAC" w:rsidP="000B73A5">
      <w:pPr>
        <w:pStyle w:val="paragraph"/>
      </w:pPr>
      <w:r w:rsidRPr="00D525A4">
        <w:tab/>
        <w:t>(b)</w:t>
      </w:r>
      <w:r w:rsidRPr="00D525A4">
        <w:tab/>
      </w:r>
      <w:r w:rsidR="001C2BFE" w:rsidRPr="00D525A4">
        <w:t>the ownership, control and management structure of the customer</w:t>
      </w:r>
      <w:r w:rsidR="00296C97" w:rsidRPr="00D525A4">
        <w:t>;</w:t>
      </w:r>
    </w:p>
    <w:p w14:paraId="5C9E3963" w14:textId="05573CC9" w:rsidR="00296C97" w:rsidRPr="00D525A4" w:rsidRDefault="00296C97" w:rsidP="000B73A5">
      <w:pPr>
        <w:pStyle w:val="paragraph"/>
      </w:pPr>
      <w:r w:rsidRPr="00D525A4">
        <w:tab/>
        <w:t>(c)</w:t>
      </w:r>
      <w:r w:rsidRPr="00D525A4">
        <w:tab/>
        <w:t xml:space="preserve">the </w:t>
      </w:r>
      <w:r w:rsidR="00A92D24" w:rsidRPr="00D525A4">
        <w:t xml:space="preserve">full </w:t>
      </w:r>
      <w:r w:rsidRPr="00D525A4">
        <w:t xml:space="preserve">name of the individual, or </w:t>
      </w:r>
      <w:r w:rsidR="006E3A0F" w:rsidRPr="00D525A4">
        <w:t xml:space="preserve">each member of the </w:t>
      </w:r>
      <w:r w:rsidRPr="00D525A4">
        <w:t>group of individuals, with primary responsibility for the governance and executive decisions of the customer.</w:t>
      </w:r>
    </w:p>
    <w:p w14:paraId="4A409A52" w14:textId="70C369BB" w:rsidR="001C2BFE" w:rsidRPr="00D525A4" w:rsidRDefault="001C2BFE" w:rsidP="00A63AA0">
      <w:pPr>
        <w:pStyle w:val="SubsectionHead"/>
      </w:pPr>
      <w:r w:rsidRPr="00D525A4">
        <w:lastRenderedPageBreak/>
        <w:t>Legal or official documentation</w:t>
      </w:r>
    </w:p>
    <w:p w14:paraId="22C93B33" w14:textId="2CF7F75A" w:rsidR="00450C9B" w:rsidRPr="00D525A4" w:rsidRDefault="001C2BFE" w:rsidP="00450C9B">
      <w:pPr>
        <w:pStyle w:val="subsection"/>
      </w:pPr>
      <w:r w:rsidRPr="00D525A4">
        <w:tab/>
        <w:t>(</w:t>
      </w:r>
      <w:r w:rsidR="00A63AA0" w:rsidRPr="00D525A4">
        <w:t>4</w:t>
      </w:r>
      <w:r w:rsidRPr="00D525A4">
        <w:t>)</w:t>
      </w:r>
      <w:r w:rsidRPr="00D525A4">
        <w:tab/>
      </w:r>
      <w:r w:rsidR="00450C9B" w:rsidRPr="00D525A4">
        <w:t>For any customer other than:</w:t>
      </w:r>
    </w:p>
    <w:p w14:paraId="1CF0CFEC" w14:textId="77777777" w:rsidR="00450C9B" w:rsidRPr="00D525A4" w:rsidRDefault="00450C9B" w:rsidP="00450C9B">
      <w:pPr>
        <w:pStyle w:val="paragraph"/>
      </w:pPr>
      <w:r w:rsidRPr="00D525A4">
        <w:tab/>
        <w:t>(a)</w:t>
      </w:r>
      <w:r w:rsidRPr="00D525A4">
        <w:tab/>
        <w:t>an individual acting on their own behalf; or</w:t>
      </w:r>
    </w:p>
    <w:p w14:paraId="5D6553A5" w14:textId="77777777" w:rsidR="00450C9B" w:rsidRPr="00D525A4" w:rsidRDefault="00450C9B" w:rsidP="00450C9B">
      <w:pPr>
        <w:pStyle w:val="paragraph"/>
      </w:pPr>
      <w:r w:rsidRPr="00D525A4">
        <w:tab/>
        <w:t>(b)</w:t>
      </w:r>
      <w:r w:rsidRPr="00D525A4">
        <w:tab/>
        <w:t>a government body; or</w:t>
      </w:r>
    </w:p>
    <w:p w14:paraId="1346C2A7" w14:textId="462F784B" w:rsidR="00450C9B" w:rsidRPr="00D525A4" w:rsidRDefault="00450C9B" w:rsidP="00450C9B">
      <w:pPr>
        <w:pStyle w:val="paragraph"/>
      </w:pPr>
      <w:r w:rsidRPr="00D525A4">
        <w:tab/>
        <w:t>(c)</w:t>
      </w:r>
      <w:r w:rsidRPr="00D525A4">
        <w:tab/>
        <w:t>a listed public company that is subject to public disclosure requirements (however imposed) that ensure transparency regarding the identi</w:t>
      </w:r>
      <w:r w:rsidR="001F1468" w:rsidRPr="00D525A4">
        <w:t>t</w:t>
      </w:r>
      <w:r w:rsidRPr="00D525A4">
        <w:t>y of any beneficial owners;</w:t>
      </w:r>
    </w:p>
    <w:p w14:paraId="1CA62EC0" w14:textId="18B366B6" w:rsidR="00450C9B" w:rsidRPr="00D525A4" w:rsidRDefault="00450C9B" w:rsidP="00450C9B">
      <w:pPr>
        <w:pStyle w:val="subsection2"/>
      </w:pPr>
      <w:r w:rsidRPr="00D525A4">
        <w:t>the legal or official documentation which demonstrates how the customer is governed is specified.</w:t>
      </w:r>
    </w:p>
    <w:p w14:paraId="14CC3D2D" w14:textId="77777777" w:rsidR="001C2BFE" w:rsidRPr="00D525A4" w:rsidRDefault="001C2BFE" w:rsidP="001C2BFE">
      <w:pPr>
        <w:pStyle w:val="notetext"/>
      </w:pPr>
      <w:r w:rsidRPr="00D525A4">
        <w:t>Note:</w:t>
      </w:r>
      <w:r w:rsidRPr="00D525A4">
        <w:tab/>
        <w:t>Examples include the constitution of a body corporate, a partnership agreement or a trust deed.</w:t>
      </w:r>
    </w:p>
    <w:p w14:paraId="0D47E6A6" w14:textId="3838F5A9" w:rsidR="00A63AA0" w:rsidRPr="00D525A4" w:rsidRDefault="00A63AA0" w:rsidP="00A63AA0">
      <w:pPr>
        <w:pStyle w:val="SubsectionHead"/>
      </w:pPr>
      <w:r w:rsidRPr="00D525A4">
        <w:t>Bodies corporate</w:t>
      </w:r>
    </w:p>
    <w:p w14:paraId="5AC4B888" w14:textId="0BE69D10" w:rsidR="00A63AA0" w:rsidRPr="00D525A4" w:rsidRDefault="00A63AA0" w:rsidP="00A63AA0">
      <w:pPr>
        <w:pStyle w:val="subsection"/>
      </w:pPr>
      <w:r w:rsidRPr="00D525A4">
        <w:tab/>
        <w:t>(5)</w:t>
      </w:r>
      <w:r w:rsidRPr="00D525A4">
        <w:tab/>
      </w:r>
      <w:r w:rsidR="00296C97" w:rsidRPr="00D525A4">
        <w:t xml:space="preserve">Without limiting </w:t>
      </w:r>
      <w:r w:rsidR="009F59ED" w:rsidRPr="00D525A4">
        <w:t>subsection (</w:t>
      </w:r>
      <w:r w:rsidR="00296C97" w:rsidRPr="00D525A4">
        <w:t>3), i</w:t>
      </w:r>
      <w:r w:rsidRPr="00D525A4">
        <w:t>f the customer is a body corporate, the</w:t>
      </w:r>
      <w:r w:rsidR="000002BC" w:rsidRPr="00D525A4">
        <w:t xml:space="preserve"> full</w:t>
      </w:r>
      <w:r w:rsidRPr="00D525A4">
        <w:t xml:space="preserve"> name</w:t>
      </w:r>
      <w:r w:rsidR="00B0121F" w:rsidRPr="00D525A4">
        <w:t>,</w:t>
      </w:r>
      <w:r w:rsidRPr="00D525A4">
        <w:t xml:space="preserve"> and</w:t>
      </w:r>
      <w:r w:rsidR="006E3A0F" w:rsidRPr="00D525A4">
        <w:t xml:space="preserve"> </w:t>
      </w:r>
      <w:r w:rsidRPr="00D525A4">
        <w:t xml:space="preserve">director identification number (within the meaning of the </w:t>
      </w:r>
      <w:r w:rsidRPr="00D525A4">
        <w:rPr>
          <w:i/>
          <w:iCs/>
        </w:rPr>
        <w:t>Corporations Act 2001</w:t>
      </w:r>
      <w:r w:rsidRPr="00D525A4">
        <w:t>)</w:t>
      </w:r>
      <w:r w:rsidR="00B0121F" w:rsidRPr="00D525A4">
        <w:t xml:space="preserve"> (if any),</w:t>
      </w:r>
      <w:r w:rsidRPr="00D525A4">
        <w:t xml:space="preserve"> of</w:t>
      </w:r>
      <w:r w:rsidR="00B0121F" w:rsidRPr="00D525A4">
        <w:t xml:space="preserve"> each </w:t>
      </w:r>
      <w:r w:rsidRPr="00D525A4">
        <w:t xml:space="preserve">eligible officer (within the meaning of </w:t>
      </w:r>
      <w:r w:rsidR="006E3A0F" w:rsidRPr="00D525A4">
        <w:t>that Act)</w:t>
      </w:r>
      <w:r w:rsidRPr="00D525A4">
        <w:t xml:space="preserve"> of the customer are specified.</w:t>
      </w:r>
    </w:p>
    <w:p w14:paraId="7A53B6B2" w14:textId="061D8D77" w:rsidR="001C2BFE" w:rsidRPr="00D525A4" w:rsidRDefault="001C2BFE" w:rsidP="001C2BFE">
      <w:pPr>
        <w:pStyle w:val="SubsectionHead"/>
      </w:pPr>
      <w:r w:rsidRPr="00D525A4">
        <w:t>Trustees</w:t>
      </w:r>
      <w:r w:rsidR="00EE268D" w:rsidRPr="00D525A4">
        <w:t xml:space="preserve"> of express trusts</w:t>
      </w:r>
      <w:r w:rsidR="008D3A7B" w:rsidRPr="00D525A4">
        <w:t xml:space="preserve"> and equivalent</w:t>
      </w:r>
    </w:p>
    <w:p w14:paraId="7894B236" w14:textId="6B13393E" w:rsidR="001C2BFE" w:rsidRPr="00D525A4" w:rsidRDefault="001C2BFE" w:rsidP="001C2BFE">
      <w:pPr>
        <w:pStyle w:val="subsection"/>
      </w:pPr>
      <w:r w:rsidRPr="00D525A4">
        <w:tab/>
        <w:t>(</w:t>
      </w:r>
      <w:r w:rsidR="007D42FE" w:rsidRPr="00D525A4">
        <w:t>6</w:t>
      </w:r>
      <w:r w:rsidRPr="00D525A4">
        <w:t>)</w:t>
      </w:r>
      <w:r w:rsidRPr="00D525A4">
        <w:tab/>
      </w:r>
      <w:r w:rsidR="00296C97" w:rsidRPr="00D525A4">
        <w:t xml:space="preserve">Without limiting </w:t>
      </w:r>
      <w:r w:rsidR="009F59ED" w:rsidRPr="00D525A4">
        <w:t>subsection (</w:t>
      </w:r>
      <w:r w:rsidR="00296C97" w:rsidRPr="00D525A4">
        <w:t>3), i</w:t>
      </w:r>
      <w:r w:rsidRPr="00D525A4">
        <w:t xml:space="preserve">f the customer is </w:t>
      </w:r>
      <w:r w:rsidR="00EE268D" w:rsidRPr="00D525A4">
        <w:t>a</w:t>
      </w:r>
      <w:r w:rsidRPr="00D525A4">
        <w:t xml:space="preserve"> trustee</w:t>
      </w:r>
      <w:r w:rsidR="00EE268D" w:rsidRPr="00D525A4">
        <w:t xml:space="preserve"> of an express trust</w:t>
      </w:r>
      <w:r w:rsidRPr="00D525A4">
        <w:t>,</w:t>
      </w:r>
      <w:r w:rsidR="008D3A7B" w:rsidRPr="00D525A4">
        <w:t xml:space="preserve"> or holds an equivalent position in a foreign arrangement such as a fiducie, treuhand or fideicomiso,</w:t>
      </w:r>
      <w:r w:rsidRPr="00D525A4">
        <w:t xml:space="preserve"> the following matters are specified:</w:t>
      </w:r>
    </w:p>
    <w:p w14:paraId="7B85C304" w14:textId="638BEFA1" w:rsidR="001C2BFE" w:rsidRPr="00D525A4" w:rsidRDefault="001C2BFE" w:rsidP="001C2BFE">
      <w:pPr>
        <w:pStyle w:val="paragraph"/>
      </w:pPr>
      <w:r w:rsidRPr="00D525A4">
        <w:tab/>
        <w:t>(a)</w:t>
      </w:r>
      <w:r w:rsidRPr="00D525A4">
        <w:tab/>
        <w:t xml:space="preserve">the </w:t>
      </w:r>
      <w:r w:rsidR="00E74174" w:rsidRPr="00D525A4">
        <w:t>kind</w:t>
      </w:r>
      <w:r w:rsidRPr="00D525A4">
        <w:t xml:space="preserve"> of trust</w:t>
      </w:r>
      <w:r w:rsidR="008D3A7B" w:rsidRPr="00D525A4">
        <w:t xml:space="preserve"> or equivalent</w:t>
      </w:r>
      <w:r w:rsidRPr="00D525A4">
        <w:t xml:space="preserve"> (such as</w:t>
      </w:r>
      <w:r w:rsidR="00C75979" w:rsidRPr="00D525A4">
        <w:t xml:space="preserve"> </w:t>
      </w:r>
      <w:r w:rsidRPr="00D525A4">
        <w:t>discretionary trust, bare trust</w:t>
      </w:r>
      <w:r w:rsidR="00C75979" w:rsidRPr="00D525A4">
        <w:t xml:space="preserve"> or</w:t>
      </w:r>
      <w:r w:rsidRPr="00D525A4">
        <w:t xml:space="preserve"> unit trust);</w:t>
      </w:r>
    </w:p>
    <w:p w14:paraId="2A8DCE58" w14:textId="2D3D4984" w:rsidR="001E4CF4" w:rsidRPr="00D525A4" w:rsidRDefault="001E4CF4" w:rsidP="001C2BFE">
      <w:pPr>
        <w:pStyle w:val="paragraph"/>
      </w:pPr>
      <w:r w:rsidRPr="00D525A4">
        <w:tab/>
      </w:r>
      <w:bookmarkStart w:id="101" w:name="_Hlk197690040"/>
      <w:r w:rsidRPr="00D525A4">
        <w:t>(b)</w:t>
      </w:r>
      <w:r w:rsidRPr="00D525A4">
        <w:tab/>
        <w:t>the full name of any settlor of the trust, or holder of an equivalent position in a foreign arrangement;</w:t>
      </w:r>
    </w:p>
    <w:p w14:paraId="6EE783C2" w14:textId="4F2CB771" w:rsidR="008D3A7B" w:rsidRPr="00D525A4" w:rsidRDefault="001C2BFE" w:rsidP="008D3A7B">
      <w:pPr>
        <w:pStyle w:val="paragraph"/>
      </w:pPr>
      <w:r w:rsidRPr="00D525A4">
        <w:tab/>
        <w:t>(</w:t>
      </w:r>
      <w:r w:rsidR="001E4CF4" w:rsidRPr="00D525A4">
        <w:t>c</w:t>
      </w:r>
      <w:r w:rsidRPr="00D525A4">
        <w:t>)</w:t>
      </w:r>
      <w:r w:rsidRPr="00D525A4">
        <w:tab/>
        <w:t xml:space="preserve">the identity of </w:t>
      </w:r>
      <w:r w:rsidR="008D3A7B" w:rsidRPr="00D525A4">
        <w:t xml:space="preserve">any </w:t>
      </w:r>
      <w:r w:rsidRPr="00D525A4">
        <w:t>appointor, guardian or protector of the trust</w:t>
      </w:r>
      <w:r w:rsidR="008D3A7B" w:rsidRPr="00D525A4">
        <w:t>, or holder of an equivalent position in a foreign arrangement.</w:t>
      </w:r>
    </w:p>
    <w:p w14:paraId="79D0AE27" w14:textId="3BB6D2F2" w:rsidR="00D61712" w:rsidRPr="00D525A4" w:rsidRDefault="00D61712" w:rsidP="00D61712">
      <w:pPr>
        <w:pStyle w:val="SubsectionHead"/>
      </w:pPr>
      <w:r w:rsidRPr="00D525A4">
        <w:t>Identi</w:t>
      </w:r>
      <w:r w:rsidR="00730946" w:rsidRPr="00D525A4">
        <w:t>ty</w:t>
      </w:r>
      <w:r w:rsidRPr="00D525A4">
        <w:t xml:space="preserve"> of individuals </w:t>
      </w:r>
      <w:r w:rsidR="00D42413" w:rsidRPr="00D525A4">
        <w:t>with responsibility for decisions of certain customers</w:t>
      </w:r>
    </w:p>
    <w:p w14:paraId="7439064E" w14:textId="198B448F" w:rsidR="00730946" w:rsidRPr="00D525A4" w:rsidRDefault="00D61712" w:rsidP="00730946">
      <w:pPr>
        <w:pStyle w:val="subsection"/>
      </w:pPr>
      <w:r w:rsidRPr="00D525A4">
        <w:tab/>
        <w:t>(7)</w:t>
      </w:r>
      <w:r w:rsidRPr="00D525A4">
        <w:tab/>
      </w:r>
      <w:r w:rsidR="00730946" w:rsidRPr="00D525A4">
        <w:t>The identity of the individual, or each member of the group of individuals, with primary responsibility for the governance and executive decisions of the customer is specified if:</w:t>
      </w:r>
    </w:p>
    <w:bookmarkEnd w:id="101"/>
    <w:p w14:paraId="3A167A01" w14:textId="3804A75B" w:rsidR="00730946" w:rsidRPr="00D525A4" w:rsidRDefault="00730946" w:rsidP="00730946">
      <w:pPr>
        <w:pStyle w:val="paragraph"/>
      </w:pPr>
      <w:r w:rsidRPr="00D525A4">
        <w:tab/>
        <w:t>(a)</w:t>
      </w:r>
      <w:r w:rsidRPr="00D525A4">
        <w:tab/>
        <w:t>the customer is not an individual; and</w:t>
      </w:r>
    </w:p>
    <w:p w14:paraId="10AF0129" w14:textId="52C8836E" w:rsidR="00730946" w:rsidRPr="00D525A4" w:rsidRDefault="00730946" w:rsidP="00730946">
      <w:pPr>
        <w:pStyle w:val="paragraph"/>
      </w:pPr>
      <w:r w:rsidRPr="00D525A4">
        <w:tab/>
        <w:t>(b)</w:t>
      </w:r>
      <w:r w:rsidRPr="00D525A4">
        <w:tab/>
        <w:t>either:</w:t>
      </w:r>
    </w:p>
    <w:p w14:paraId="1046628C" w14:textId="0BFA7E42" w:rsidR="00730946" w:rsidRPr="00D525A4" w:rsidRDefault="00730946" w:rsidP="00730946">
      <w:pPr>
        <w:pStyle w:val="paragraphsub"/>
      </w:pPr>
      <w:r w:rsidRPr="00D525A4">
        <w:tab/>
        <w:t>(i)</w:t>
      </w:r>
      <w:r w:rsidRPr="00D525A4">
        <w:tab/>
        <w:t>the reporting entity establishes on reasonable grounds that there are no beneficial owners of the customer; or</w:t>
      </w:r>
    </w:p>
    <w:p w14:paraId="3E5FE454" w14:textId="23D6907F" w:rsidR="00D42413" w:rsidRPr="00D525A4" w:rsidRDefault="00730946" w:rsidP="00D42413">
      <w:pPr>
        <w:pStyle w:val="paragraphsub"/>
      </w:pPr>
      <w:r w:rsidRPr="00D525A4">
        <w:tab/>
        <w:t>(ii)</w:t>
      </w:r>
      <w:r w:rsidRPr="00D525A4">
        <w:tab/>
        <w:t xml:space="preserve">the reporting entity is taken to have complied with the matter mentioned in </w:t>
      </w:r>
      <w:r w:rsidR="009F59ED" w:rsidRPr="00D525A4">
        <w:t>paragraph 2</w:t>
      </w:r>
      <w:r w:rsidRPr="00D525A4">
        <w:t xml:space="preserve">8(2)(d) </w:t>
      </w:r>
      <w:r w:rsidR="00EA7626" w:rsidRPr="00D525A4">
        <w:t xml:space="preserve">of the Act </w:t>
      </w:r>
      <w:r w:rsidRPr="00D525A4">
        <w:t xml:space="preserve">because of section </w:t>
      </w:r>
      <w:r w:rsidR="00EC097E" w:rsidRPr="00D525A4">
        <w:t>5</w:t>
      </w:r>
      <w:r w:rsidR="00D525A4">
        <w:noBreakHyphen/>
      </w:r>
      <w:r w:rsidR="00EC097E" w:rsidRPr="00D525A4">
        <w:t>15</w:t>
      </w:r>
      <w:r w:rsidRPr="00D525A4">
        <w:t xml:space="preserve"> of this instrument</w:t>
      </w:r>
      <w:r w:rsidR="00D42413" w:rsidRPr="00D525A4">
        <w:t xml:space="preserve"> (identity of beneficial owners of certain customers)</w:t>
      </w:r>
      <w:r w:rsidRPr="00D525A4">
        <w:t>.</w:t>
      </w:r>
    </w:p>
    <w:p w14:paraId="756574C2" w14:textId="79722922" w:rsidR="00D61712" w:rsidRPr="00D525A4" w:rsidRDefault="00D42413" w:rsidP="00D42413">
      <w:pPr>
        <w:pStyle w:val="notetext"/>
      </w:pPr>
      <w:r w:rsidRPr="00D525A4">
        <w:t>Note:</w:t>
      </w:r>
      <w:r w:rsidRPr="00D525A4">
        <w:tab/>
        <w:t xml:space="preserve">For requirements in relation to establishing the identity of a person, see section </w:t>
      </w:r>
      <w:r w:rsidR="00EC097E" w:rsidRPr="00D525A4">
        <w:t>5</w:t>
      </w:r>
      <w:r w:rsidR="00D525A4">
        <w:noBreakHyphen/>
      </w:r>
      <w:r w:rsidR="00EC097E" w:rsidRPr="00D525A4">
        <w:t>3</w:t>
      </w:r>
      <w:r w:rsidRPr="00D525A4">
        <w:t xml:space="preserve"> of this instrument.</w:t>
      </w:r>
    </w:p>
    <w:p w14:paraId="4DDC4941" w14:textId="2BA0E4C1" w:rsidR="000F52AC" w:rsidRPr="00D525A4" w:rsidRDefault="00EC097E" w:rsidP="000F52AC">
      <w:pPr>
        <w:pStyle w:val="ActHead5"/>
      </w:pPr>
      <w:bookmarkStart w:id="102" w:name="_Toc198224989"/>
      <w:r w:rsidRPr="00D525A4">
        <w:rPr>
          <w:rStyle w:val="CharSectno"/>
        </w:rPr>
        <w:lastRenderedPageBreak/>
        <w:t>5</w:t>
      </w:r>
      <w:r w:rsidR="00D525A4">
        <w:rPr>
          <w:rStyle w:val="CharSectno"/>
        </w:rPr>
        <w:noBreakHyphen/>
      </w:r>
      <w:r w:rsidRPr="00D525A4">
        <w:rPr>
          <w:rStyle w:val="CharSectno"/>
        </w:rPr>
        <w:t>3</w:t>
      </w:r>
      <w:r w:rsidR="000F52AC" w:rsidRPr="00D525A4">
        <w:t xml:space="preserve">  Establishing the identity of agents, beneficial owners</w:t>
      </w:r>
      <w:r w:rsidR="00CD1813" w:rsidRPr="00D525A4">
        <w:t>, trustees</w:t>
      </w:r>
      <w:r w:rsidR="000F52AC" w:rsidRPr="00D525A4">
        <w:t xml:space="preserve"> etc.</w:t>
      </w:r>
      <w:bookmarkEnd w:id="102"/>
    </w:p>
    <w:p w14:paraId="7AC34C9B" w14:textId="2E4A230A" w:rsidR="00795C8D" w:rsidRPr="00D525A4" w:rsidRDefault="000F52AC" w:rsidP="000F52AC">
      <w:pPr>
        <w:pStyle w:val="subsection"/>
      </w:pPr>
      <w:r w:rsidRPr="00D525A4">
        <w:tab/>
        <w:t>(1)</w:t>
      </w:r>
      <w:r w:rsidRPr="00D525A4">
        <w:tab/>
        <w:t xml:space="preserve">For the purposes of </w:t>
      </w:r>
      <w:r w:rsidR="009F59ED" w:rsidRPr="00D525A4">
        <w:t>paragraph 2</w:t>
      </w:r>
      <w:r w:rsidRPr="00D525A4">
        <w:t>8(6)(a) of the Act, this section specifies requirements in relation to establishing on reasonable grounds</w:t>
      </w:r>
      <w:r w:rsidR="00795C8D" w:rsidRPr="00D525A4">
        <w:t>:</w:t>
      </w:r>
    </w:p>
    <w:p w14:paraId="369D3A66" w14:textId="5D7A4C4A" w:rsidR="00795C8D" w:rsidRPr="00D525A4" w:rsidRDefault="00795C8D" w:rsidP="00795C8D">
      <w:pPr>
        <w:pStyle w:val="paragraph"/>
      </w:pPr>
      <w:r w:rsidRPr="00D525A4">
        <w:tab/>
        <w:t>(a)</w:t>
      </w:r>
      <w:r w:rsidRPr="00D525A4">
        <w:tab/>
        <w:t xml:space="preserve">the matters </w:t>
      </w:r>
      <w:r w:rsidR="00EA7626" w:rsidRPr="00D525A4">
        <w:t xml:space="preserve">mentioned </w:t>
      </w:r>
      <w:r w:rsidRPr="00D525A4">
        <w:t>in paragraphs 28(2)(b), (c) and (d) of the Act; and</w:t>
      </w:r>
    </w:p>
    <w:p w14:paraId="0957CBA4" w14:textId="402AB40E" w:rsidR="000F52AC" w:rsidRPr="00D525A4" w:rsidRDefault="00795C8D" w:rsidP="00795C8D">
      <w:pPr>
        <w:pStyle w:val="paragraph"/>
      </w:pPr>
      <w:r w:rsidRPr="00D525A4">
        <w:tab/>
        <w:t>(b)</w:t>
      </w:r>
      <w:r w:rsidRPr="00D525A4">
        <w:tab/>
        <w:t xml:space="preserve">any matter specified by the AML/CTF Rules under </w:t>
      </w:r>
      <w:r w:rsidR="009F59ED" w:rsidRPr="00D525A4">
        <w:t>paragraph 2</w:t>
      </w:r>
      <w:r w:rsidRPr="00D525A4">
        <w:t xml:space="preserve">8(2)(g) </w:t>
      </w:r>
      <w:r w:rsidR="001E4CF4" w:rsidRPr="00D525A4">
        <w:t xml:space="preserve">of the Act </w:t>
      </w:r>
      <w:r w:rsidRPr="00D525A4">
        <w:t>that involves establishing the identity of a person other than the customer.</w:t>
      </w:r>
    </w:p>
    <w:p w14:paraId="082C0EE6" w14:textId="77777777" w:rsidR="000F52AC" w:rsidRPr="00D525A4" w:rsidRDefault="000F52AC" w:rsidP="000F52AC">
      <w:pPr>
        <w:pStyle w:val="subsection"/>
      </w:pPr>
      <w:r w:rsidRPr="00D525A4">
        <w:tab/>
        <w:t>(2)</w:t>
      </w:r>
      <w:r w:rsidRPr="00D525A4">
        <w:tab/>
        <w:t>A reporting entity must:</w:t>
      </w:r>
    </w:p>
    <w:p w14:paraId="1D444980" w14:textId="77777777" w:rsidR="000F52AC" w:rsidRPr="00D525A4" w:rsidRDefault="000F52AC" w:rsidP="000F52AC">
      <w:pPr>
        <w:pStyle w:val="paragraph"/>
      </w:pPr>
      <w:r w:rsidRPr="00D525A4">
        <w:tab/>
        <w:t>(a)</w:t>
      </w:r>
      <w:r w:rsidRPr="00D525A4">
        <w:tab/>
        <w:t>collect the same information about the identity of the person that it would be required to collect in undertaking initial customer due diligence if the person were a customer; and</w:t>
      </w:r>
    </w:p>
    <w:p w14:paraId="5FC472F6" w14:textId="77777777" w:rsidR="000F52AC" w:rsidRPr="00D525A4" w:rsidRDefault="000F52AC" w:rsidP="000F52AC">
      <w:pPr>
        <w:pStyle w:val="paragraph"/>
      </w:pPr>
      <w:r w:rsidRPr="00D525A4">
        <w:tab/>
        <w:t>(b)</w:t>
      </w:r>
      <w:r w:rsidRPr="00D525A4">
        <w:tab/>
        <w:t>verify information about the identity of the person in the same way that it would be required to if the person were a customer; and</w:t>
      </w:r>
    </w:p>
    <w:p w14:paraId="0E7B41CE" w14:textId="77777777" w:rsidR="000F52AC" w:rsidRPr="00D525A4" w:rsidRDefault="000F52AC" w:rsidP="000F52AC">
      <w:pPr>
        <w:pStyle w:val="paragraph"/>
      </w:pPr>
      <w:r w:rsidRPr="00D525A4">
        <w:tab/>
        <w:t>(c)</w:t>
      </w:r>
      <w:r w:rsidRPr="00D525A4">
        <w:tab/>
        <w:t>apply the same AML/CTF policies in relation to identifying the person that it would apply in undertaking initial customer due diligence if the person were a customer.</w:t>
      </w:r>
    </w:p>
    <w:p w14:paraId="0960C9AC" w14:textId="3C8BCD67" w:rsidR="008D3A7B" w:rsidRPr="00D525A4" w:rsidRDefault="008D3A7B" w:rsidP="008D3A7B">
      <w:pPr>
        <w:pStyle w:val="ActHead3"/>
        <w:pageBreakBefore/>
      </w:pPr>
      <w:bookmarkStart w:id="103" w:name="_Toc198224990"/>
      <w:r w:rsidRPr="00D525A4">
        <w:rPr>
          <w:rStyle w:val="CharDivNo"/>
        </w:rPr>
        <w:lastRenderedPageBreak/>
        <w:t>Division 2</w:t>
      </w:r>
      <w:r w:rsidRPr="00D525A4">
        <w:t>—</w:t>
      </w:r>
      <w:r w:rsidRPr="00D525A4">
        <w:rPr>
          <w:rStyle w:val="CharDivText"/>
        </w:rPr>
        <w:t>Simplified and enhanced customer due diligence</w:t>
      </w:r>
      <w:bookmarkEnd w:id="103"/>
    </w:p>
    <w:p w14:paraId="6125839B" w14:textId="7B80B7FC" w:rsidR="008D3A7B" w:rsidRPr="00D525A4" w:rsidRDefault="00EC097E" w:rsidP="008D3A7B">
      <w:pPr>
        <w:pStyle w:val="ActHead5"/>
      </w:pPr>
      <w:bookmarkStart w:id="104" w:name="_Toc198224991"/>
      <w:r w:rsidRPr="00D525A4">
        <w:rPr>
          <w:rStyle w:val="CharSectno"/>
        </w:rPr>
        <w:t>5</w:t>
      </w:r>
      <w:r w:rsidR="00D525A4">
        <w:rPr>
          <w:rStyle w:val="CharSectno"/>
        </w:rPr>
        <w:noBreakHyphen/>
      </w:r>
      <w:r w:rsidRPr="00D525A4">
        <w:rPr>
          <w:rStyle w:val="CharSectno"/>
        </w:rPr>
        <w:t>4</w:t>
      </w:r>
      <w:r w:rsidR="008D3A7B" w:rsidRPr="00D525A4">
        <w:t xml:space="preserve">  Simplified customer due diligence requirements</w:t>
      </w:r>
      <w:bookmarkEnd w:id="104"/>
    </w:p>
    <w:p w14:paraId="7736AD05" w14:textId="2C201038" w:rsidR="008D3A7B" w:rsidRPr="00D525A4" w:rsidRDefault="008D3A7B" w:rsidP="008D3A7B">
      <w:pPr>
        <w:pStyle w:val="subsection"/>
      </w:pPr>
      <w:r w:rsidRPr="00D525A4">
        <w:tab/>
      </w:r>
      <w:r w:rsidRPr="00D525A4">
        <w:tab/>
        <w:t xml:space="preserve">For the purposes of paragraph 31(c) of the Act, </w:t>
      </w:r>
      <w:r w:rsidR="001E4CF4" w:rsidRPr="00D525A4">
        <w:t xml:space="preserve">for a reporting entity to apply simplified customer </w:t>
      </w:r>
      <w:r w:rsidR="00F03F18" w:rsidRPr="00D525A4">
        <w:t xml:space="preserve">due </w:t>
      </w:r>
      <w:r w:rsidR="001E4CF4" w:rsidRPr="00D525A4">
        <w:t>diligence measures the AML/CTF policies of the reporting entity must deal with the application of those measures.</w:t>
      </w:r>
    </w:p>
    <w:p w14:paraId="07987F3F" w14:textId="418E246A" w:rsidR="008D3A7B" w:rsidRPr="00D525A4" w:rsidRDefault="00EC097E" w:rsidP="008D3A7B">
      <w:pPr>
        <w:pStyle w:val="ActHead5"/>
      </w:pPr>
      <w:bookmarkStart w:id="105" w:name="_Toc198224992"/>
      <w:r w:rsidRPr="00D525A4">
        <w:rPr>
          <w:rStyle w:val="CharSectno"/>
        </w:rPr>
        <w:t>5</w:t>
      </w:r>
      <w:r w:rsidR="00D525A4">
        <w:rPr>
          <w:rStyle w:val="CharSectno"/>
        </w:rPr>
        <w:noBreakHyphen/>
      </w:r>
      <w:r w:rsidRPr="00D525A4">
        <w:rPr>
          <w:rStyle w:val="CharSectno"/>
        </w:rPr>
        <w:t>5</w:t>
      </w:r>
      <w:r w:rsidR="008D3A7B" w:rsidRPr="00D525A4">
        <w:t xml:space="preserve">  Customers for whom enhanced customer due diligence is required</w:t>
      </w:r>
      <w:bookmarkEnd w:id="105"/>
    </w:p>
    <w:p w14:paraId="0056530E" w14:textId="77777777" w:rsidR="008D3A7B" w:rsidRPr="00D525A4" w:rsidRDefault="008D3A7B" w:rsidP="008D3A7B">
      <w:pPr>
        <w:pStyle w:val="subsection"/>
      </w:pPr>
      <w:r w:rsidRPr="00D525A4">
        <w:tab/>
      </w:r>
      <w:r w:rsidRPr="00D525A4">
        <w:tab/>
        <w:t>For the purposes of paragraph 32(f) of the Act, enhanced customer due diligence must be applied to a customer who seeks designated services if the proposed provision of designated services:</w:t>
      </w:r>
    </w:p>
    <w:p w14:paraId="0ABCF849" w14:textId="77777777" w:rsidR="008D3A7B" w:rsidRPr="00D525A4" w:rsidRDefault="008D3A7B" w:rsidP="008D3A7B">
      <w:pPr>
        <w:pStyle w:val="paragraph"/>
      </w:pPr>
      <w:r w:rsidRPr="00D525A4">
        <w:tab/>
        <w:t>(a)</w:t>
      </w:r>
      <w:r w:rsidRPr="00D525A4">
        <w:tab/>
        <w:t>has no apparent economic or legal purpose; or</w:t>
      </w:r>
    </w:p>
    <w:p w14:paraId="0E8DC4D7" w14:textId="77777777" w:rsidR="008D3A7B" w:rsidRPr="00D525A4" w:rsidRDefault="008D3A7B" w:rsidP="008D3A7B">
      <w:pPr>
        <w:pStyle w:val="paragraph"/>
      </w:pPr>
      <w:r w:rsidRPr="00D525A4">
        <w:tab/>
        <w:t>(b)</w:t>
      </w:r>
      <w:r w:rsidRPr="00D525A4">
        <w:tab/>
        <w:t>would involve unusually complex or large transactions; or</w:t>
      </w:r>
    </w:p>
    <w:p w14:paraId="6FC5366C" w14:textId="77777777" w:rsidR="008D3A7B" w:rsidRPr="00D525A4" w:rsidRDefault="008D3A7B" w:rsidP="008D3A7B">
      <w:pPr>
        <w:pStyle w:val="paragraph"/>
      </w:pPr>
      <w:r w:rsidRPr="00D525A4">
        <w:tab/>
        <w:t>(c)</w:t>
      </w:r>
      <w:r w:rsidRPr="00D525A4">
        <w:tab/>
        <w:t>would involve an unusual pattern of transactions.</w:t>
      </w:r>
    </w:p>
    <w:p w14:paraId="401688E9" w14:textId="55BBC70C" w:rsidR="00F34D8D" w:rsidRPr="00D525A4" w:rsidRDefault="00270E8B" w:rsidP="00F34D8D">
      <w:pPr>
        <w:pStyle w:val="ActHead3"/>
        <w:pageBreakBefore/>
      </w:pPr>
      <w:bookmarkStart w:id="106" w:name="_Toc198224993"/>
      <w:r w:rsidRPr="00D525A4">
        <w:rPr>
          <w:rStyle w:val="CharDivNo"/>
        </w:rPr>
        <w:lastRenderedPageBreak/>
        <w:t>Division </w:t>
      </w:r>
      <w:r w:rsidR="008D3A7B" w:rsidRPr="00D525A4">
        <w:rPr>
          <w:rStyle w:val="CharDivNo"/>
        </w:rPr>
        <w:t>3</w:t>
      </w:r>
      <w:r w:rsidR="000F52AC" w:rsidRPr="00D525A4">
        <w:t>—</w:t>
      </w:r>
      <w:r w:rsidR="000F52AC" w:rsidRPr="00D525A4">
        <w:rPr>
          <w:rStyle w:val="CharDivText"/>
        </w:rPr>
        <w:t>Exemptions from initial customer due diligence</w:t>
      </w:r>
      <w:bookmarkEnd w:id="106"/>
    </w:p>
    <w:p w14:paraId="29A60385" w14:textId="0862BD62" w:rsidR="00201B10" w:rsidRPr="00D525A4" w:rsidRDefault="00EC097E" w:rsidP="008A4DE3">
      <w:pPr>
        <w:pStyle w:val="ActHead5"/>
      </w:pPr>
      <w:bookmarkStart w:id="107" w:name="_Toc198224994"/>
      <w:r w:rsidRPr="00D525A4">
        <w:rPr>
          <w:rStyle w:val="CharSectno"/>
        </w:rPr>
        <w:t>5</w:t>
      </w:r>
      <w:r w:rsidR="00D525A4">
        <w:rPr>
          <w:rStyle w:val="CharSectno"/>
        </w:rPr>
        <w:noBreakHyphen/>
      </w:r>
      <w:r w:rsidRPr="00D525A4">
        <w:rPr>
          <w:rStyle w:val="CharSectno"/>
        </w:rPr>
        <w:t>6</w:t>
      </w:r>
      <w:r w:rsidR="00201B10" w:rsidRPr="00D525A4">
        <w:t xml:space="preserve">  Delayed </w:t>
      </w:r>
      <w:r w:rsidR="001E4CF4" w:rsidRPr="00D525A4">
        <w:t>verification</w:t>
      </w:r>
      <w:r w:rsidR="009C4A4D" w:rsidRPr="00D525A4">
        <w:t xml:space="preserve"> for certain </w:t>
      </w:r>
      <w:r w:rsidR="001E4CF4" w:rsidRPr="00D525A4">
        <w:t>identification requirements</w:t>
      </w:r>
      <w:r w:rsidR="00201B10" w:rsidRPr="00D525A4">
        <w:t>—</w:t>
      </w:r>
      <w:r w:rsidR="000C38F2" w:rsidRPr="00D525A4">
        <w:t>service provided</w:t>
      </w:r>
      <w:r w:rsidR="00F34D8D" w:rsidRPr="00D525A4">
        <w:t xml:space="preserve"> in Australia</w:t>
      </w:r>
      <w:bookmarkEnd w:id="107"/>
    </w:p>
    <w:p w14:paraId="522C2060" w14:textId="4B0FAD44" w:rsidR="00F34D8D" w:rsidRPr="00D525A4" w:rsidRDefault="00F34D8D" w:rsidP="00F34D8D">
      <w:pPr>
        <w:pStyle w:val="SubsectionHead"/>
      </w:pPr>
      <w:r w:rsidRPr="00D525A4">
        <w:t>Circumstances</w:t>
      </w:r>
    </w:p>
    <w:p w14:paraId="54ECF59E" w14:textId="59D92C15" w:rsidR="00F34D8D" w:rsidRPr="00D525A4" w:rsidRDefault="00F34D8D" w:rsidP="00F34D8D">
      <w:pPr>
        <w:pStyle w:val="subsection"/>
      </w:pPr>
      <w:r w:rsidRPr="00D525A4">
        <w:tab/>
        <w:t>(1)</w:t>
      </w:r>
      <w:r w:rsidRPr="00D525A4">
        <w:tab/>
        <w:t xml:space="preserve">For the purposes of </w:t>
      </w:r>
      <w:r w:rsidR="009F59ED" w:rsidRPr="00D525A4">
        <w:t>paragraph 2</w:t>
      </w:r>
      <w:r w:rsidRPr="00D525A4">
        <w:t xml:space="preserve">9(a) of the Act, a reporting entity may commence to provide a designated service to a customer (subject to other requirements) if the designated service </w:t>
      </w:r>
      <w:r w:rsidR="009C4A4D" w:rsidRPr="00D525A4">
        <w:t xml:space="preserve">is </w:t>
      </w:r>
      <w:r w:rsidRPr="00D525A4">
        <w:t>provided at or through a permanent establishment of the reporting entity in Australia.</w:t>
      </w:r>
    </w:p>
    <w:p w14:paraId="29C30197" w14:textId="7912106D" w:rsidR="00F34D8D" w:rsidRPr="00D525A4" w:rsidRDefault="00F34D8D" w:rsidP="00F34D8D">
      <w:pPr>
        <w:pStyle w:val="SubsectionHead"/>
      </w:pPr>
      <w:r w:rsidRPr="00D525A4">
        <w:t>Specified period</w:t>
      </w:r>
    </w:p>
    <w:p w14:paraId="4BD97D0C" w14:textId="072045B9" w:rsidR="00F34D8D" w:rsidRPr="00D525A4" w:rsidRDefault="00F34D8D" w:rsidP="00F34D8D">
      <w:pPr>
        <w:pStyle w:val="subsection"/>
      </w:pPr>
      <w:r w:rsidRPr="00D525A4">
        <w:tab/>
        <w:t>(2)</w:t>
      </w:r>
      <w:r w:rsidRPr="00D525A4">
        <w:tab/>
        <w:t xml:space="preserve">For the purposes of </w:t>
      </w:r>
      <w:r w:rsidR="0010391B" w:rsidRPr="00D525A4">
        <w:t>sub</w:t>
      </w:r>
      <w:r w:rsidR="009F59ED" w:rsidRPr="00D525A4">
        <w:t>paragraph 2</w:t>
      </w:r>
      <w:r w:rsidRPr="00D525A4">
        <w:t xml:space="preserve">9(c)(ii) of the Act, in the circumstances mentioned in </w:t>
      </w:r>
      <w:r w:rsidR="009F59ED" w:rsidRPr="00D525A4">
        <w:t>subsection (</w:t>
      </w:r>
      <w:r w:rsidRPr="00D525A4">
        <w:t>1) of this section the specified period is 30 days.</w:t>
      </w:r>
    </w:p>
    <w:p w14:paraId="6A7BD876" w14:textId="538B45B4" w:rsidR="00F34D8D" w:rsidRPr="00D525A4" w:rsidRDefault="00F34D8D" w:rsidP="00F34D8D">
      <w:pPr>
        <w:pStyle w:val="SubsectionHead"/>
      </w:pPr>
      <w:r w:rsidRPr="00D525A4">
        <w:t>Requirements</w:t>
      </w:r>
    </w:p>
    <w:p w14:paraId="5C35C7B8" w14:textId="605346AA" w:rsidR="001E4CF4" w:rsidRPr="00D525A4" w:rsidRDefault="00F34D8D" w:rsidP="001E4CF4">
      <w:pPr>
        <w:pStyle w:val="subsection"/>
      </w:pPr>
      <w:r w:rsidRPr="00D525A4">
        <w:tab/>
        <w:t>(3)</w:t>
      </w:r>
      <w:r w:rsidRPr="00D525A4">
        <w:tab/>
      </w:r>
      <w:r w:rsidR="001E4CF4" w:rsidRPr="00D525A4">
        <w:t xml:space="preserve">For the purposes of </w:t>
      </w:r>
      <w:r w:rsidR="009F59ED" w:rsidRPr="00D525A4">
        <w:t>paragraph 2</w:t>
      </w:r>
      <w:r w:rsidR="001E4CF4" w:rsidRPr="00D525A4">
        <w:t xml:space="preserve">9(f) of the Act, a requirement in the circumstances mentioned in </w:t>
      </w:r>
      <w:r w:rsidR="009F59ED" w:rsidRPr="00D525A4">
        <w:t>subsection (</w:t>
      </w:r>
      <w:r w:rsidR="001E4CF4" w:rsidRPr="00D525A4">
        <w:t>1) of this section is that the reporting entity establishes on reasonable grounds:</w:t>
      </w:r>
    </w:p>
    <w:p w14:paraId="3C24A98A" w14:textId="3A08F59A" w:rsidR="001E4CF4" w:rsidRPr="00D525A4" w:rsidRDefault="001E4CF4" w:rsidP="001E4CF4">
      <w:pPr>
        <w:pStyle w:val="paragraph"/>
      </w:pPr>
      <w:r w:rsidRPr="00D525A4">
        <w:tab/>
        <w:t>(a)</w:t>
      </w:r>
      <w:r w:rsidRPr="00D525A4">
        <w:tab/>
        <w:t>each of the matters mentioned in paragraphs 28(2)(a), (c), (e) and (f) of the Act in relation to the customer; and</w:t>
      </w:r>
    </w:p>
    <w:p w14:paraId="68588939" w14:textId="71D97460" w:rsidR="001E4CF4" w:rsidRPr="00D525A4" w:rsidRDefault="001E4CF4" w:rsidP="001E4CF4">
      <w:pPr>
        <w:pStyle w:val="paragraph"/>
      </w:pPr>
      <w:r w:rsidRPr="00D525A4">
        <w:tab/>
        <w:t>(b)</w:t>
      </w:r>
      <w:r w:rsidRPr="00D525A4">
        <w:tab/>
        <w:t xml:space="preserve">any matter specified by the AML/CTF Rules under </w:t>
      </w:r>
      <w:r w:rsidR="009F59ED" w:rsidRPr="00D525A4">
        <w:t>paragraph 2</w:t>
      </w:r>
      <w:r w:rsidRPr="00D525A4">
        <w:t>8(2)(g) of the Act that does not involve establishing the identity of a person other than the customer.</w:t>
      </w:r>
    </w:p>
    <w:p w14:paraId="5F21CB1A" w14:textId="1838A7A3" w:rsidR="001E4CF4" w:rsidRPr="00D525A4" w:rsidRDefault="001E4CF4" w:rsidP="001E4CF4">
      <w:pPr>
        <w:pStyle w:val="subsection"/>
      </w:pPr>
      <w:r w:rsidRPr="00D525A4">
        <w:tab/>
        <w:t>(4)</w:t>
      </w:r>
      <w:r w:rsidRPr="00D525A4">
        <w:tab/>
        <w:t xml:space="preserve">For the purposes of </w:t>
      </w:r>
      <w:r w:rsidR="009F59ED" w:rsidRPr="00D525A4">
        <w:t>paragraph 2</w:t>
      </w:r>
      <w:r w:rsidRPr="00D525A4">
        <w:t xml:space="preserve">9(f) of the Act, a further requirement in the circumstances mentioned in </w:t>
      </w:r>
      <w:r w:rsidR="009F59ED" w:rsidRPr="00D525A4">
        <w:t>subsection (</w:t>
      </w:r>
      <w:r w:rsidRPr="00D525A4">
        <w:t xml:space="preserve">1) of this section is that the reporting entity collects the information required by paragraph </w:t>
      </w:r>
      <w:r w:rsidR="00EC097E" w:rsidRPr="00D525A4">
        <w:t>5</w:t>
      </w:r>
      <w:r w:rsidR="00D525A4">
        <w:noBreakHyphen/>
      </w:r>
      <w:r w:rsidR="00EC097E" w:rsidRPr="00D525A4">
        <w:t>3</w:t>
      </w:r>
      <w:r w:rsidRPr="00D525A4">
        <w:t>(2)(a) of this instrument in relation to:</w:t>
      </w:r>
    </w:p>
    <w:p w14:paraId="729E0D2A" w14:textId="5F528F25" w:rsidR="001E4CF4" w:rsidRPr="00D525A4" w:rsidRDefault="001E4CF4" w:rsidP="001E4CF4">
      <w:pPr>
        <w:pStyle w:val="paragraph"/>
      </w:pPr>
      <w:r w:rsidRPr="00D525A4">
        <w:tab/>
        <w:t>(a)</w:t>
      </w:r>
      <w:r w:rsidRPr="00D525A4">
        <w:tab/>
        <w:t>the matters mentioned in paragraphs 28(2)(b) and (d)</w:t>
      </w:r>
      <w:r w:rsidR="0089158A" w:rsidRPr="00D525A4">
        <w:t xml:space="preserve"> of the Act</w:t>
      </w:r>
      <w:r w:rsidRPr="00D525A4">
        <w:t xml:space="preserve"> in relation to the customer; and</w:t>
      </w:r>
    </w:p>
    <w:p w14:paraId="1843972F" w14:textId="00F24A7B" w:rsidR="005A2C10" w:rsidRPr="00D525A4" w:rsidRDefault="001E4CF4" w:rsidP="001E4CF4">
      <w:pPr>
        <w:pStyle w:val="paragraph"/>
      </w:pPr>
      <w:r w:rsidRPr="00D525A4">
        <w:tab/>
        <w:t>(b)</w:t>
      </w:r>
      <w:r w:rsidRPr="00D525A4">
        <w:tab/>
        <w:t xml:space="preserve">any matter specified by the AML/CTF Rules under </w:t>
      </w:r>
      <w:r w:rsidR="009F59ED" w:rsidRPr="00D525A4">
        <w:t>paragraph 2</w:t>
      </w:r>
      <w:r w:rsidRPr="00D525A4">
        <w:t>8(2)(g) of the Act that involves establishing the identity of a person other than the customer.</w:t>
      </w:r>
    </w:p>
    <w:p w14:paraId="526241E1" w14:textId="5083C4DF" w:rsidR="001A5ACE" w:rsidRPr="00D525A4" w:rsidRDefault="00EC097E" w:rsidP="001A5ACE">
      <w:pPr>
        <w:pStyle w:val="ActHead5"/>
      </w:pPr>
      <w:bookmarkStart w:id="108" w:name="_Toc198224995"/>
      <w:r w:rsidRPr="00D525A4">
        <w:rPr>
          <w:rStyle w:val="CharSectno"/>
        </w:rPr>
        <w:t>5</w:t>
      </w:r>
      <w:r w:rsidR="00D525A4">
        <w:rPr>
          <w:rStyle w:val="CharSectno"/>
        </w:rPr>
        <w:noBreakHyphen/>
      </w:r>
      <w:r w:rsidRPr="00D525A4">
        <w:rPr>
          <w:rStyle w:val="CharSectno"/>
        </w:rPr>
        <w:t>7</w:t>
      </w:r>
      <w:r w:rsidR="001A5ACE" w:rsidRPr="00D525A4">
        <w:t xml:space="preserve">  </w:t>
      </w:r>
      <w:r w:rsidR="008D3A7B" w:rsidRPr="00D525A4">
        <w:t>D</w:t>
      </w:r>
      <w:r w:rsidR="001A5ACE" w:rsidRPr="00D525A4">
        <w:t xml:space="preserve">elayed </w:t>
      </w:r>
      <w:r w:rsidR="001E4CF4" w:rsidRPr="00D525A4">
        <w:t xml:space="preserve">initial </w:t>
      </w:r>
      <w:r w:rsidR="00680432" w:rsidRPr="00D525A4">
        <w:t>due diligence</w:t>
      </w:r>
      <w:r w:rsidR="001A5ACE" w:rsidRPr="00D525A4">
        <w:t>—real estate transactions</w:t>
      </w:r>
      <w:bookmarkEnd w:id="108"/>
    </w:p>
    <w:p w14:paraId="1CC9D489" w14:textId="77777777" w:rsidR="001A5ACE" w:rsidRPr="00D525A4" w:rsidRDefault="001A5ACE" w:rsidP="001A5ACE">
      <w:pPr>
        <w:pStyle w:val="SubsectionHead"/>
      </w:pPr>
      <w:r w:rsidRPr="00D525A4">
        <w:t>Circumstances</w:t>
      </w:r>
    </w:p>
    <w:p w14:paraId="05EB4851" w14:textId="69ED6353" w:rsidR="001A5ACE" w:rsidRPr="00D525A4" w:rsidRDefault="001A5ACE" w:rsidP="001A5ACE">
      <w:pPr>
        <w:pStyle w:val="subsection"/>
      </w:pPr>
      <w:r w:rsidRPr="00D525A4">
        <w:tab/>
        <w:t>(1)</w:t>
      </w:r>
      <w:r w:rsidRPr="00D525A4">
        <w:tab/>
        <w:t xml:space="preserve">For the purposes of </w:t>
      </w:r>
      <w:r w:rsidR="009F59ED" w:rsidRPr="00D525A4">
        <w:t>paragraph 2</w:t>
      </w:r>
      <w:r w:rsidRPr="00D525A4">
        <w:t>9(a) of the Act, a reporting entity may commence to provide a designated service to a customer (subject to other requirements) if:</w:t>
      </w:r>
    </w:p>
    <w:p w14:paraId="2E41F5E9" w14:textId="3E22F669" w:rsidR="001A5ACE" w:rsidRPr="00D525A4" w:rsidRDefault="001A5ACE" w:rsidP="001A5ACE">
      <w:pPr>
        <w:pStyle w:val="paragraph"/>
      </w:pPr>
      <w:r w:rsidRPr="00D525A4">
        <w:tab/>
        <w:t>(a)</w:t>
      </w:r>
      <w:r w:rsidRPr="00D525A4">
        <w:tab/>
        <w:t xml:space="preserve">the designated service is covered by </w:t>
      </w:r>
      <w:r w:rsidR="0013261E" w:rsidRPr="00D525A4">
        <w:t>item 1</w:t>
      </w:r>
      <w:r w:rsidRPr="00D525A4">
        <w:t xml:space="preserve"> of table 5 in </w:t>
      </w:r>
      <w:r w:rsidR="0010391B" w:rsidRPr="00D525A4">
        <w:t>section 6</w:t>
      </w:r>
      <w:r w:rsidRPr="00D525A4">
        <w:t xml:space="preserve"> of the Act (brokering the sale, purchase or transfer of real estate); and</w:t>
      </w:r>
    </w:p>
    <w:p w14:paraId="3383C51C" w14:textId="77777777" w:rsidR="001A5ACE" w:rsidRPr="00D525A4" w:rsidRDefault="001A5ACE" w:rsidP="001A5ACE">
      <w:pPr>
        <w:pStyle w:val="paragraph"/>
      </w:pPr>
      <w:r w:rsidRPr="00D525A4">
        <w:tab/>
        <w:t>(b)</w:t>
      </w:r>
      <w:r w:rsidRPr="00D525A4">
        <w:tab/>
        <w:t>the customer is the buyer or transferee of the real estate; and</w:t>
      </w:r>
    </w:p>
    <w:p w14:paraId="612D985D" w14:textId="545F6C41" w:rsidR="001A5ACE" w:rsidRPr="00D525A4" w:rsidRDefault="001A5ACE" w:rsidP="001A5ACE">
      <w:pPr>
        <w:pStyle w:val="paragraph"/>
      </w:pPr>
      <w:r w:rsidRPr="00D525A4">
        <w:tab/>
        <w:t>(c)</w:t>
      </w:r>
      <w:r w:rsidRPr="00D525A4">
        <w:tab/>
        <w:t xml:space="preserve">the reporting entity has previously provided a designated service covered by </w:t>
      </w:r>
      <w:r w:rsidR="0013261E" w:rsidRPr="00D525A4">
        <w:t>item 1</w:t>
      </w:r>
      <w:r w:rsidRPr="00D525A4">
        <w:t xml:space="preserve"> of table 5 in </w:t>
      </w:r>
      <w:r w:rsidR="0010391B" w:rsidRPr="00D525A4">
        <w:t>section 6</w:t>
      </w:r>
      <w:r w:rsidRPr="00D525A4">
        <w:t xml:space="preserve"> of the Act to the seller or transferor of the real estate.</w:t>
      </w:r>
    </w:p>
    <w:p w14:paraId="2D3B15C8" w14:textId="0041AFF9" w:rsidR="001A5ACE" w:rsidRPr="00D525A4" w:rsidRDefault="001A5ACE" w:rsidP="001A5ACE">
      <w:pPr>
        <w:pStyle w:val="subsection"/>
      </w:pPr>
      <w:r w:rsidRPr="00D525A4">
        <w:lastRenderedPageBreak/>
        <w:tab/>
        <w:t>(2)</w:t>
      </w:r>
      <w:r w:rsidRPr="00D525A4">
        <w:tab/>
        <w:t xml:space="preserve">For the purposes of </w:t>
      </w:r>
      <w:r w:rsidR="009F59ED" w:rsidRPr="00D525A4">
        <w:t>paragraph 2</w:t>
      </w:r>
      <w:r w:rsidRPr="00D525A4">
        <w:t>9(a) of the Act, a reporting entity may commence to provide a designated service to a customer (subject to other requirements) if:</w:t>
      </w:r>
    </w:p>
    <w:p w14:paraId="4EBF6602" w14:textId="142B0662" w:rsidR="001A5ACE" w:rsidRPr="00D525A4" w:rsidRDefault="001A5ACE" w:rsidP="001A5ACE">
      <w:pPr>
        <w:pStyle w:val="paragraph"/>
      </w:pPr>
      <w:r w:rsidRPr="00D525A4">
        <w:tab/>
        <w:t>(a)</w:t>
      </w:r>
      <w:r w:rsidRPr="00D525A4">
        <w:tab/>
        <w:t xml:space="preserve">the designated service is covered by </w:t>
      </w:r>
      <w:r w:rsidR="0013261E" w:rsidRPr="00D525A4">
        <w:t>item 1</w:t>
      </w:r>
      <w:r w:rsidRPr="00D525A4">
        <w:t xml:space="preserve"> of table 5 in </w:t>
      </w:r>
      <w:r w:rsidR="0010391B" w:rsidRPr="00D525A4">
        <w:t>section 6</w:t>
      </w:r>
      <w:r w:rsidRPr="00D525A4">
        <w:t xml:space="preserve"> of the Act (brokering the sale, purchase or transfer of real estate); and</w:t>
      </w:r>
    </w:p>
    <w:p w14:paraId="1FB93817" w14:textId="77777777" w:rsidR="001A5ACE" w:rsidRPr="00D525A4" w:rsidRDefault="001A5ACE" w:rsidP="001A5ACE">
      <w:pPr>
        <w:pStyle w:val="paragraph"/>
      </w:pPr>
      <w:r w:rsidRPr="00D525A4">
        <w:tab/>
        <w:t>(b)</w:t>
      </w:r>
      <w:r w:rsidRPr="00D525A4">
        <w:tab/>
        <w:t>the customer is the seller or transferor of the real estate; and</w:t>
      </w:r>
    </w:p>
    <w:p w14:paraId="1FA98A46" w14:textId="18017CE8" w:rsidR="001A5ACE" w:rsidRPr="00D525A4" w:rsidRDefault="001A5ACE" w:rsidP="001A5ACE">
      <w:pPr>
        <w:pStyle w:val="paragraph"/>
      </w:pPr>
      <w:r w:rsidRPr="00D525A4">
        <w:tab/>
        <w:t>(c)</w:t>
      </w:r>
      <w:r w:rsidRPr="00D525A4">
        <w:tab/>
        <w:t xml:space="preserve">the reporting entity has previously provided a designated service covered by </w:t>
      </w:r>
      <w:r w:rsidR="0013261E" w:rsidRPr="00D525A4">
        <w:t>item 1</w:t>
      </w:r>
      <w:r w:rsidRPr="00D525A4">
        <w:t xml:space="preserve"> of table 5 in </w:t>
      </w:r>
      <w:r w:rsidR="0010391B" w:rsidRPr="00D525A4">
        <w:t>section 6</w:t>
      </w:r>
      <w:r w:rsidRPr="00D525A4">
        <w:t xml:space="preserve"> of the Act to the buyer or transferee of the real estate.</w:t>
      </w:r>
    </w:p>
    <w:p w14:paraId="462A5095" w14:textId="2BE67CC0" w:rsidR="001A5ACE" w:rsidRPr="00D525A4" w:rsidRDefault="001A5ACE" w:rsidP="001A5ACE">
      <w:pPr>
        <w:pStyle w:val="subsection"/>
      </w:pPr>
      <w:r w:rsidRPr="00D525A4">
        <w:tab/>
        <w:t>(3)</w:t>
      </w:r>
      <w:r w:rsidRPr="00D525A4">
        <w:tab/>
        <w:t xml:space="preserve">For the purposes of </w:t>
      </w:r>
      <w:r w:rsidR="009F59ED" w:rsidRPr="00D525A4">
        <w:t>paragraph 2</w:t>
      </w:r>
      <w:r w:rsidRPr="00D525A4">
        <w:t>9(a) of the Act a reporting entity may commence to provide a designated service to a customer (subject to other requirements) if:</w:t>
      </w:r>
    </w:p>
    <w:p w14:paraId="606243F6" w14:textId="7D86329C" w:rsidR="001A5ACE" w:rsidRPr="00D525A4" w:rsidRDefault="001A5ACE" w:rsidP="001A5ACE">
      <w:pPr>
        <w:pStyle w:val="paragraph"/>
      </w:pPr>
      <w:r w:rsidRPr="00D525A4">
        <w:tab/>
        <w:t>(a)</w:t>
      </w:r>
      <w:r w:rsidRPr="00D525A4">
        <w:tab/>
        <w:t xml:space="preserve">the designated service is covered by </w:t>
      </w:r>
      <w:r w:rsidR="0013261E" w:rsidRPr="00D525A4">
        <w:t>item 1</w:t>
      </w:r>
      <w:r w:rsidRPr="00D525A4">
        <w:t xml:space="preserve"> of table 6 in </w:t>
      </w:r>
      <w:r w:rsidR="0010391B" w:rsidRPr="00D525A4">
        <w:t>section 6</w:t>
      </w:r>
      <w:r w:rsidRPr="00D525A4">
        <w:t xml:space="preserve"> of the Act (assisting a person in a transaction to sell, buy or otherwise transfer real estate); and</w:t>
      </w:r>
    </w:p>
    <w:p w14:paraId="34D61A6C" w14:textId="77777777" w:rsidR="001A5ACE" w:rsidRPr="00D525A4" w:rsidRDefault="001A5ACE" w:rsidP="001A5ACE">
      <w:pPr>
        <w:pStyle w:val="paragraph"/>
      </w:pPr>
      <w:r w:rsidRPr="00D525A4">
        <w:tab/>
        <w:t>(b)</w:t>
      </w:r>
      <w:r w:rsidRPr="00D525A4">
        <w:tab/>
        <w:t xml:space="preserve"> the customer is or is to be the buyer or transferee in the transaction.</w:t>
      </w:r>
    </w:p>
    <w:p w14:paraId="33C341AB" w14:textId="77777777" w:rsidR="001A5ACE" w:rsidRPr="00D525A4" w:rsidRDefault="001A5ACE" w:rsidP="001A5ACE">
      <w:pPr>
        <w:pStyle w:val="SubsectionHead"/>
      </w:pPr>
      <w:r w:rsidRPr="00D525A4">
        <w:t>Specified period</w:t>
      </w:r>
    </w:p>
    <w:p w14:paraId="64BAFBAF" w14:textId="480FC330" w:rsidR="001A5ACE" w:rsidRPr="00D525A4" w:rsidRDefault="001A5ACE" w:rsidP="001A5ACE">
      <w:pPr>
        <w:pStyle w:val="subsection"/>
      </w:pPr>
      <w:r w:rsidRPr="00D525A4">
        <w:tab/>
        <w:t>(4)</w:t>
      </w:r>
      <w:r w:rsidRPr="00D525A4">
        <w:tab/>
        <w:t xml:space="preserve">For the purposes of </w:t>
      </w:r>
      <w:r w:rsidR="0010391B" w:rsidRPr="00D525A4">
        <w:t>sub</w:t>
      </w:r>
      <w:r w:rsidR="009F59ED" w:rsidRPr="00D525A4">
        <w:t>paragraph 2</w:t>
      </w:r>
      <w:r w:rsidRPr="00D525A4">
        <w:t xml:space="preserve">9(c)(ii) of the Act, in each of the circumstances mentioned in </w:t>
      </w:r>
      <w:r w:rsidR="0013261E" w:rsidRPr="00D525A4">
        <w:t>subsections (</w:t>
      </w:r>
      <w:r w:rsidRPr="00D525A4">
        <w:t>1) to (3) of this section the specified period is the period ending at the settlement of the sale, purchase or transfer of the real estate.</w:t>
      </w:r>
    </w:p>
    <w:p w14:paraId="3018A1D2" w14:textId="77777777" w:rsidR="001A5ACE" w:rsidRPr="00D525A4" w:rsidRDefault="001A5ACE" w:rsidP="001A5ACE">
      <w:pPr>
        <w:pStyle w:val="SubsectionHead"/>
      </w:pPr>
      <w:r w:rsidRPr="00D525A4">
        <w:t>Requirements</w:t>
      </w:r>
    </w:p>
    <w:p w14:paraId="3C04D4AC" w14:textId="20B73FB0" w:rsidR="001A5ACE" w:rsidRPr="00D525A4" w:rsidRDefault="001A5ACE" w:rsidP="001A5ACE">
      <w:pPr>
        <w:pStyle w:val="subsection"/>
      </w:pPr>
      <w:r w:rsidRPr="00D525A4">
        <w:tab/>
        <w:t>(5)</w:t>
      </w:r>
      <w:r w:rsidRPr="00D525A4">
        <w:tab/>
        <w:t xml:space="preserve">For the purposes of </w:t>
      </w:r>
      <w:r w:rsidR="009F59ED" w:rsidRPr="00D525A4">
        <w:t>paragraph 2</w:t>
      </w:r>
      <w:r w:rsidRPr="00D525A4">
        <w:t xml:space="preserve">9(f) of the Act, a requirement in each of the circumstances mentioned in </w:t>
      </w:r>
      <w:r w:rsidR="0013261E" w:rsidRPr="00D525A4">
        <w:t>subsections (</w:t>
      </w:r>
      <w:r w:rsidRPr="00D525A4">
        <w:t xml:space="preserve">1) to (3) is that the settlement of the sale, purchase or transfer of the real estate must be conditional on compliance with </w:t>
      </w:r>
      <w:r w:rsidR="0010391B" w:rsidRPr="00D525A4">
        <w:t>subsection 2</w:t>
      </w:r>
      <w:r w:rsidRPr="00D525A4">
        <w:t>8(1) of the Act in relation to the customer.</w:t>
      </w:r>
    </w:p>
    <w:p w14:paraId="145CFACC" w14:textId="3CC66E8D" w:rsidR="008022C0" w:rsidRPr="00D525A4" w:rsidRDefault="00EC097E" w:rsidP="00EC20CD">
      <w:pPr>
        <w:pStyle w:val="ActHead5"/>
      </w:pPr>
      <w:bookmarkStart w:id="109" w:name="_Toc198224996"/>
      <w:r w:rsidRPr="00D525A4">
        <w:rPr>
          <w:rStyle w:val="CharSectno"/>
        </w:rPr>
        <w:t>5</w:t>
      </w:r>
      <w:r w:rsidR="00D525A4">
        <w:rPr>
          <w:rStyle w:val="CharSectno"/>
        </w:rPr>
        <w:noBreakHyphen/>
      </w:r>
      <w:r w:rsidRPr="00D525A4">
        <w:rPr>
          <w:rStyle w:val="CharSectno"/>
        </w:rPr>
        <w:t>8</w:t>
      </w:r>
      <w:r w:rsidR="008022C0" w:rsidRPr="00D525A4">
        <w:t xml:space="preserve">  </w:t>
      </w:r>
      <w:r w:rsidR="008D3A7B" w:rsidRPr="00D525A4">
        <w:t>D</w:t>
      </w:r>
      <w:r w:rsidR="008022C0" w:rsidRPr="00D525A4">
        <w:t xml:space="preserve">elayed </w:t>
      </w:r>
      <w:r w:rsidR="001E4CF4" w:rsidRPr="00D525A4">
        <w:t xml:space="preserve">initial </w:t>
      </w:r>
      <w:r w:rsidR="00680432" w:rsidRPr="00D525A4">
        <w:t>due diligence</w:t>
      </w:r>
      <w:r w:rsidR="008A4DE3" w:rsidRPr="00D525A4">
        <w:t>—service</w:t>
      </w:r>
      <w:r w:rsidR="001C78F9" w:rsidRPr="00D525A4">
        <w:t xml:space="preserve"> provided</w:t>
      </w:r>
      <w:r w:rsidR="008A4DE3" w:rsidRPr="00D525A4">
        <w:t xml:space="preserve"> in foreign country</w:t>
      </w:r>
      <w:bookmarkEnd w:id="109"/>
    </w:p>
    <w:p w14:paraId="5EEEFD2E" w14:textId="449757B9" w:rsidR="008A4DE3" w:rsidRPr="00D525A4" w:rsidRDefault="008A4DE3" w:rsidP="008A4DE3">
      <w:pPr>
        <w:pStyle w:val="subsection"/>
      </w:pPr>
      <w:r w:rsidRPr="00D525A4">
        <w:tab/>
      </w:r>
      <w:r w:rsidRPr="00D525A4">
        <w:tab/>
        <w:t xml:space="preserve">For the purposes of </w:t>
      </w:r>
      <w:r w:rsidR="009F59ED" w:rsidRPr="00D525A4">
        <w:t>paragraph 2</w:t>
      </w:r>
      <w:r w:rsidRPr="00D525A4">
        <w:t>9(a) of the Act, a reporting entity may commence to provide a designated service to a customer (subject to other requirements) if:</w:t>
      </w:r>
    </w:p>
    <w:p w14:paraId="12220A9A" w14:textId="6EF39DAA" w:rsidR="008A4DE3" w:rsidRPr="00D525A4" w:rsidRDefault="008A4DE3" w:rsidP="008A4DE3">
      <w:pPr>
        <w:pStyle w:val="paragraph"/>
      </w:pPr>
      <w:r w:rsidRPr="00D525A4">
        <w:tab/>
        <w:t>(a)</w:t>
      </w:r>
      <w:r w:rsidRPr="00D525A4">
        <w:tab/>
        <w:t>the service is to be provided at or through a permanent establishment of the reporting entity in a foreign country; and</w:t>
      </w:r>
    </w:p>
    <w:p w14:paraId="5D74C79E" w14:textId="1AE804A6" w:rsidR="000002BC" w:rsidRPr="00D525A4" w:rsidRDefault="008A4DE3" w:rsidP="008D3A7B">
      <w:pPr>
        <w:pStyle w:val="paragraph"/>
      </w:pPr>
      <w:r w:rsidRPr="00D525A4">
        <w:tab/>
        <w:t>(b)</w:t>
      </w:r>
      <w:r w:rsidRPr="00D525A4">
        <w:tab/>
        <w:t xml:space="preserve">the law of that country that gives effect to the FATF Recommendations permits </w:t>
      </w:r>
      <w:r w:rsidR="001D19E2" w:rsidRPr="00D525A4">
        <w:t xml:space="preserve">the reporting entity </w:t>
      </w:r>
      <w:r w:rsidRPr="00D525A4">
        <w:t xml:space="preserve">to establish a matter or matters in </w:t>
      </w:r>
      <w:r w:rsidR="0010391B" w:rsidRPr="00D525A4">
        <w:t>subsection 2</w:t>
      </w:r>
      <w:r w:rsidRPr="00D525A4">
        <w:t>8(2) of the Act after providing the service.</w:t>
      </w:r>
    </w:p>
    <w:p w14:paraId="192F3C5D" w14:textId="051566C4" w:rsidR="00434E2B" w:rsidRPr="00D525A4" w:rsidRDefault="00EC097E" w:rsidP="00680432">
      <w:pPr>
        <w:pStyle w:val="ActHead5"/>
      </w:pPr>
      <w:bookmarkStart w:id="110" w:name="_Toc198224997"/>
      <w:r w:rsidRPr="00D525A4">
        <w:rPr>
          <w:rStyle w:val="CharSectno"/>
        </w:rPr>
        <w:t>5</w:t>
      </w:r>
      <w:r w:rsidR="00D525A4">
        <w:rPr>
          <w:rStyle w:val="CharSectno"/>
        </w:rPr>
        <w:noBreakHyphen/>
      </w:r>
      <w:r w:rsidRPr="00D525A4">
        <w:rPr>
          <w:rStyle w:val="CharSectno"/>
        </w:rPr>
        <w:t>9</w:t>
      </w:r>
      <w:r w:rsidR="00434E2B" w:rsidRPr="00D525A4">
        <w:t xml:space="preserve">  Delayed initial due diligence for certain matters (politically exposed persons and sanctions)—service provided in Australia</w:t>
      </w:r>
      <w:bookmarkEnd w:id="110"/>
    </w:p>
    <w:p w14:paraId="3041BB87" w14:textId="36D23271" w:rsidR="00434E2B" w:rsidRPr="00D525A4" w:rsidRDefault="00434E2B" w:rsidP="00434E2B">
      <w:pPr>
        <w:pStyle w:val="subsection"/>
      </w:pPr>
      <w:r w:rsidRPr="00D525A4">
        <w:tab/>
        <w:t>(1)</w:t>
      </w:r>
      <w:r w:rsidRPr="00D525A4">
        <w:tab/>
        <w:t>For the purposes of paragraph 29(a) of the Act, a reporting entity may commence to provide a designated service to a customer (subject to other requirements) if the service is to be provided at or through a permanent establishment of the reporting entity in Australia.</w:t>
      </w:r>
    </w:p>
    <w:p w14:paraId="637FE33D" w14:textId="47C62528" w:rsidR="00434E2B" w:rsidRPr="00D525A4" w:rsidRDefault="00434E2B" w:rsidP="00434E2B">
      <w:pPr>
        <w:pStyle w:val="subsection"/>
      </w:pPr>
      <w:r w:rsidRPr="00D525A4">
        <w:tab/>
        <w:t>(2)</w:t>
      </w:r>
      <w:r w:rsidRPr="00D525A4">
        <w:tab/>
        <w:t xml:space="preserve">For the purposes of paragraph 29(f) of the Act, a requirement in the circumstances mentioned in subsection (1) of this section is that the reporting </w:t>
      </w:r>
      <w:r w:rsidRPr="00D525A4">
        <w:lastRenderedPageBreak/>
        <w:t>entity has established each of the matters in subsection 28(2) of the Act except the matter in paragraph 28(2)(e)</w:t>
      </w:r>
      <w:r w:rsidR="00A64DA9">
        <w:t xml:space="preserve"> of the Act</w:t>
      </w:r>
      <w:r w:rsidRPr="00D525A4">
        <w:t>.</w:t>
      </w:r>
    </w:p>
    <w:p w14:paraId="35CB1C21" w14:textId="5EC377CF" w:rsidR="00680432" w:rsidRPr="00D525A4" w:rsidRDefault="00EC097E" w:rsidP="00680432">
      <w:pPr>
        <w:pStyle w:val="ActHead5"/>
      </w:pPr>
      <w:bookmarkStart w:id="111" w:name="_Toc198224998"/>
      <w:r w:rsidRPr="00D525A4">
        <w:rPr>
          <w:rStyle w:val="CharSectno"/>
        </w:rPr>
        <w:t>5</w:t>
      </w:r>
      <w:r w:rsidR="00D525A4">
        <w:rPr>
          <w:rStyle w:val="CharSectno"/>
        </w:rPr>
        <w:noBreakHyphen/>
      </w:r>
      <w:r w:rsidRPr="00D525A4">
        <w:rPr>
          <w:rStyle w:val="CharSectno"/>
        </w:rPr>
        <w:t>10</w:t>
      </w:r>
      <w:r w:rsidR="00680432" w:rsidRPr="00D525A4">
        <w:t xml:space="preserve">  Delayed verification—opening an account and deposit</w:t>
      </w:r>
      <w:bookmarkEnd w:id="111"/>
    </w:p>
    <w:p w14:paraId="4C02EF23" w14:textId="002A7753" w:rsidR="00680432" w:rsidRPr="00D525A4" w:rsidRDefault="00680432" w:rsidP="00680432">
      <w:pPr>
        <w:pStyle w:val="subsection"/>
      </w:pPr>
      <w:r w:rsidRPr="00D525A4">
        <w:tab/>
        <w:t>(1)</w:t>
      </w:r>
      <w:r w:rsidRPr="00D525A4">
        <w:tab/>
        <w:t xml:space="preserve">For the purposes of </w:t>
      </w:r>
      <w:r w:rsidR="009F59ED" w:rsidRPr="00D525A4">
        <w:t>paragraph 2</w:t>
      </w:r>
      <w:r w:rsidRPr="00D525A4">
        <w:t>9(a) of the Act, a reporting entity may commence to provide a designated service to a customer (subject to other requirements) if:</w:t>
      </w:r>
    </w:p>
    <w:p w14:paraId="279CE0B1" w14:textId="4C570BD9" w:rsidR="00680432" w:rsidRPr="00D525A4" w:rsidRDefault="00680432" w:rsidP="00680432">
      <w:pPr>
        <w:pStyle w:val="paragraph"/>
      </w:pPr>
      <w:r w:rsidRPr="00D525A4">
        <w:tab/>
        <w:t>(a)</w:t>
      </w:r>
      <w:r w:rsidRPr="00D525A4">
        <w:tab/>
        <w:t xml:space="preserve">the designated service is covered by item 1 of table 1 in </w:t>
      </w:r>
      <w:r w:rsidR="0010391B" w:rsidRPr="00D525A4">
        <w:t>section 6</w:t>
      </w:r>
      <w:r w:rsidRPr="00D525A4">
        <w:t xml:space="preserve"> of the Act; or</w:t>
      </w:r>
    </w:p>
    <w:p w14:paraId="4864AB03" w14:textId="1DA51153" w:rsidR="00680432" w:rsidRPr="00D525A4" w:rsidRDefault="00680432" w:rsidP="00680432">
      <w:pPr>
        <w:pStyle w:val="paragraph"/>
      </w:pPr>
      <w:r w:rsidRPr="00D525A4">
        <w:tab/>
        <w:t>(b)</w:t>
      </w:r>
      <w:r w:rsidRPr="00D525A4">
        <w:tab/>
        <w:t xml:space="preserve">the designated service is covered by item 3 of table 1 in </w:t>
      </w:r>
      <w:r w:rsidR="0010391B" w:rsidRPr="00D525A4">
        <w:t>section 6</w:t>
      </w:r>
      <w:r w:rsidRPr="00D525A4">
        <w:t xml:space="preserve"> of the Act, and the transaction is a deposit made to the account; or</w:t>
      </w:r>
    </w:p>
    <w:p w14:paraId="59015B38" w14:textId="60DAAAF4" w:rsidR="00680432" w:rsidRPr="00D525A4" w:rsidRDefault="00680432" w:rsidP="00680432">
      <w:pPr>
        <w:pStyle w:val="paragraph"/>
      </w:pPr>
      <w:r w:rsidRPr="00D525A4">
        <w:tab/>
        <w:t>(c)</w:t>
      </w:r>
      <w:r w:rsidRPr="00D525A4">
        <w:tab/>
        <w:t xml:space="preserve">provision of the designated service is reasonably incidental to the provision of a designated service mentioned in </w:t>
      </w:r>
      <w:r w:rsidR="009F59ED" w:rsidRPr="00D525A4">
        <w:t>paragraph (</w:t>
      </w:r>
      <w:r w:rsidRPr="00D525A4">
        <w:t>a) or (b) of this subsection.</w:t>
      </w:r>
    </w:p>
    <w:p w14:paraId="241557F9" w14:textId="78055523" w:rsidR="00680432" w:rsidRPr="00D525A4" w:rsidRDefault="00680432" w:rsidP="00680432">
      <w:pPr>
        <w:pStyle w:val="subsection"/>
      </w:pPr>
      <w:r w:rsidRPr="00D525A4">
        <w:tab/>
        <w:t>(2)</w:t>
      </w:r>
      <w:r w:rsidRPr="00D525A4">
        <w:tab/>
        <w:t xml:space="preserve">For the purposes of </w:t>
      </w:r>
      <w:r w:rsidR="009F59ED" w:rsidRPr="00D525A4">
        <w:t>paragraph 2</w:t>
      </w:r>
      <w:r w:rsidRPr="00D525A4">
        <w:t xml:space="preserve">9(f) of the Act, a requirement in all of the circumstances mentioned in </w:t>
      </w:r>
      <w:r w:rsidR="009F59ED" w:rsidRPr="00D525A4">
        <w:t>subsection (</w:t>
      </w:r>
      <w:r w:rsidRPr="00D525A4">
        <w:t>1) of this section is that the reporting entity must do the following in relation to the customer to whom the designated service is to be provided:</w:t>
      </w:r>
    </w:p>
    <w:p w14:paraId="61DCC31F" w14:textId="77777777" w:rsidR="00680432" w:rsidRPr="00D525A4" w:rsidRDefault="00680432" w:rsidP="00680432">
      <w:pPr>
        <w:pStyle w:val="paragraph"/>
      </w:pPr>
      <w:r w:rsidRPr="00D525A4">
        <w:tab/>
        <w:t>(a)</w:t>
      </w:r>
      <w:r w:rsidRPr="00D525A4">
        <w:tab/>
        <w:t>if the customer is an individual—take reasonable steps to establish that the customer is the person the customer claims to be;</w:t>
      </w:r>
    </w:p>
    <w:p w14:paraId="6D366A07" w14:textId="77777777" w:rsidR="00680432" w:rsidRPr="00D525A4" w:rsidRDefault="00680432" w:rsidP="00680432">
      <w:pPr>
        <w:pStyle w:val="paragraph"/>
      </w:pPr>
      <w:r w:rsidRPr="00D525A4">
        <w:tab/>
        <w:t>(b)</w:t>
      </w:r>
      <w:r w:rsidRPr="00D525A4">
        <w:tab/>
        <w:t>identify the ML/TF risk of the customer, based on KYC information about the customer that is reasonably available to the reporting entity before commencing to provide the designated service;</w:t>
      </w:r>
    </w:p>
    <w:p w14:paraId="5B8E92B7" w14:textId="77777777" w:rsidR="00680432" w:rsidRPr="00D525A4" w:rsidRDefault="00680432" w:rsidP="00680432">
      <w:pPr>
        <w:pStyle w:val="paragraph"/>
      </w:pPr>
      <w:r w:rsidRPr="00D525A4">
        <w:tab/>
        <w:t>(c)</w:t>
      </w:r>
      <w:r w:rsidRPr="00D525A4">
        <w:tab/>
        <w:t>collect KYC information about the customer that is appropriate to the ML/TF risk of the customer.</w:t>
      </w:r>
    </w:p>
    <w:p w14:paraId="079F6035" w14:textId="318242E0" w:rsidR="00680432" w:rsidRPr="00D525A4" w:rsidRDefault="00EC097E" w:rsidP="00680432">
      <w:pPr>
        <w:pStyle w:val="ActHead5"/>
      </w:pPr>
      <w:bookmarkStart w:id="112" w:name="_Toc198224999"/>
      <w:r w:rsidRPr="00D525A4">
        <w:rPr>
          <w:rStyle w:val="CharSectno"/>
        </w:rPr>
        <w:t>5</w:t>
      </w:r>
      <w:r w:rsidR="00D525A4">
        <w:rPr>
          <w:rStyle w:val="CharSectno"/>
        </w:rPr>
        <w:noBreakHyphen/>
      </w:r>
      <w:r w:rsidRPr="00D525A4">
        <w:rPr>
          <w:rStyle w:val="CharSectno"/>
        </w:rPr>
        <w:t>11</w:t>
      </w:r>
      <w:r w:rsidR="00680432" w:rsidRPr="00D525A4">
        <w:t xml:space="preserve">  Delayed verification—certain financial markets transactions</w:t>
      </w:r>
      <w:bookmarkEnd w:id="112"/>
    </w:p>
    <w:p w14:paraId="083A900C" w14:textId="77777777" w:rsidR="00680432" w:rsidRPr="00D525A4" w:rsidRDefault="00680432" w:rsidP="00680432">
      <w:pPr>
        <w:pStyle w:val="SubsectionHead"/>
      </w:pPr>
      <w:r w:rsidRPr="00D525A4">
        <w:t>Circumstances</w:t>
      </w:r>
    </w:p>
    <w:p w14:paraId="49B4D814" w14:textId="735E5296" w:rsidR="00680432" w:rsidRPr="00D525A4" w:rsidRDefault="00680432" w:rsidP="00680432">
      <w:pPr>
        <w:pStyle w:val="subsection"/>
      </w:pPr>
      <w:r w:rsidRPr="00D525A4">
        <w:tab/>
        <w:t>(1)</w:t>
      </w:r>
      <w:r w:rsidRPr="00D525A4">
        <w:tab/>
        <w:t xml:space="preserve">For the purposes of </w:t>
      </w:r>
      <w:r w:rsidR="009F59ED" w:rsidRPr="00D525A4">
        <w:t>paragraph 2</w:t>
      </w:r>
      <w:r w:rsidRPr="00D525A4">
        <w:t>9(a) of the Act, a reporting entity may commence to provide a designated service to a customer (subject to other requirements) if:</w:t>
      </w:r>
    </w:p>
    <w:p w14:paraId="39D24830" w14:textId="0404469E" w:rsidR="00680432" w:rsidRPr="00D525A4" w:rsidRDefault="00680432" w:rsidP="00680432">
      <w:pPr>
        <w:pStyle w:val="paragraph"/>
      </w:pPr>
      <w:r w:rsidRPr="00D525A4">
        <w:tab/>
        <w:t>(a)</w:t>
      </w:r>
      <w:r w:rsidRPr="00D525A4">
        <w:tab/>
        <w:t xml:space="preserve">the designated service is covered by item 33 of table 1 in </w:t>
      </w:r>
      <w:r w:rsidR="0010391B" w:rsidRPr="00D525A4">
        <w:t>section 6</w:t>
      </w:r>
      <w:r w:rsidRPr="00D525A4">
        <w:t xml:space="preserve"> of the Act; and</w:t>
      </w:r>
    </w:p>
    <w:p w14:paraId="532839DF" w14:textId="77777777" w:rsidR="00680432" w:rsidRPr="00D525A4" w:rsidRDefault="00680432" w:rsidP="00680432">
      <w:pPr>
        <w:pStyle w:val="paragraph"/>
      </w:pPr>
      <w:r w:rsidRPr="00D525A4">
        <w:tab/>
        <w:t>(b)</w:t>
      </w:r>
      <w:r w:rsidRPr="00D525A4">
        <w:tab/>
        <w:t xml:space="preserve">the acquisition or disposal is of a security, derivative or foreign exchange contract on a declared financial market (within the meaning of the </w:t>
      </w:r>
      <w:r w:rsidRPr="00D525A4">
        <w:rPr>
          <w:i/>
        </w:rPr>
        <w:t>Corporations Act 2001</w:t>
      </w:r>
      <w:r w:rsidRPr="00D525A4">
        <w:t>); and</w:t>
      </w:r>
    </w:p>
    <w:p w14:paraId="4940F115" w14:textId="77777777" w:rsidR="00680432" w:rsidRPr="00D525A4" w:rsidRDefault="00680432" w:rsidP="00680432">
      <w:pPr>
        <w:pStyle w:val="paragraph"/>
      </w:pPr>
      <w:r w:rsidRPr="00D525A4">
        <w:tab/>
        <w:t>(c)</w:t>
      </w:r>
      <w:r w:rsidRPr="00D525A4">
        <w:tab/>
        <w:t>the acquisition or disposal must be performed rapidly due to financial market conditions relevant to the transaction.</w:t>
      </w:r>
    </w:p>
    <w:p w14:paraId="5B6DA0FF" w14:textId="77777777" w:rsidR="00680432" w:rsidRPr="00D525A4" w:rsidRDefault="00680432" w:rsidP="00680432">
      <w:pPr>
        <w:pStyle w:val="SubsectionHead"/>
      </w:pPr>
      <w:r w:rsidRPr="00D525A4">
        <w:t>Specified period</w:t>
      </w:r>
    </w:p>
    <w:p w14:paraId="17C645D5" w14:textId="3AADC64C" w:rsidR="00680432" w:rsidRPr="00D525A4" w:rsidRDefault="00680432" w:rsidP="00680432">
      <w:pPr>
        <w:pStyle w:val="subsection"/>
      </w:pPr>
      <w:r w:rsidRPr="00D525A4">
        <w:tab/>
        <w:t>(2)</w:t>
      </w:r>
      <w:r w:rsidRPr="00D525A4">
        <w:tab/>
      </w:r>
      <w:bookmarkStart w:id="113" w:name="_Hlk197510473"/>
      <w:r w:rsidRPr="00D525A4">
        <w:t xml:space="preserve">For the purposes of </w:t>
      </w:r>
      <w:r w:rsidR="0010391B" w:rsidRPr="00D525A4">
        <w:t>sub</w:t>
      </w:r>
      <w:r w:rsidR="009F59ED" w:rsidRPr="00D525A4">
        <w:t>paragraph 2</w:t>
      </w:r>
      <w:r w:rsidRPr="00D525A4">
        <w:t xml:space="preserve">9(c)(ii) of the Act, in the circumstances mentioned in </w:t>
      </w:r>
      <w:r w:rsidR="009F59ED" w:rsidRPr="00D525A4">
        <w:t>subsection (</w:t>
      </w:r>
      <w:r w:rsidRPr="00D525A4">
        <w:t>1) of this section the specified period is 5 business days.</w:t>
      </w:r>
    </w:p>
    <w:bookmarkEnd w:id="113"/>
    <w:p w14:paraId="2C71C523" w14:textId="77777777" w:rsidR="00680432" w:rsidRPr="00D525A4" w:rsidRDefault="00680432" w:rsidP="00680432">
      <w:pPr>
        <w:pStyle w:val="SubsectionHead"/>
      </w:pPr>
      <w:r w:rsidRPr="00D525A4">
        <w:t>Requirements</w:t>
      </w:r>
    </w:p>
    <w:p w14:paraId="23A49181" w14:textId="17647434" w:rsidR="00680432" w:rsidRPr="00D525A4" w:rsidRDefault="00680432" w:rsidP="00680432">
      <w:pPr>
        <w:pStyle w:val="subsection"/>
      </w:pPr>
      <w:r w:rsidRPr="00D525A4">
        <w:tab/>
        <w:t>(3)</w:t>
      </w:r>
      <w:r w:rsidRPr="00D525A4">
        <w:tab/>
        <w:t xml:space="preserve">For the purposes of </w:t>
      </w:r>
      <w:r w:rsidR="009F59ED" w:rsidRPr="00D525A4">
        <w:t>paragraph 2</w:t>
      </w:r>
      <w:r w:rsidRPr="00D525A4">
        <w:t xml:space="preserve">9(f) of the Act, a requirement in circumstances mentioned in </w:t>
      </w:r>
      <w:r w:rsidR="009F59ED" w:rsidRPr="00D525A4">
        <w:t>subsection (</w:t>
      </w:r>
      <w:r w:rsidRPr="00D525A4">
        <w:t xml:space="preserve">1) of this section is that the reporting entity must do the </w:t>
      </w:r>
      <w:r w:rsidRPr="00D525A4">
        <w:lastRenderedPageBreak/>
        <w:t>following in relation to the customer to whom the designated service is to be provided:</w:t>
      </w:r>
    </w:p>
    <w:p w14:paraId="7B6EC7C5" w14:textId="77777777" w:rsidR="00680432" w:rsidRPr="00D525A4" w:rsidRDefault="00680432" w:rsidP="00680432">
      <w:pPr>
        <w:pStyle w:val="paragraph"/>
      </w:pPr>
      <w:r w:rsidRPr="00D525A4">
        <w:tab/>
        <w:t>(a)</w:t>
      </w:r>
      <w:r w:rsidRPr="00D525A4">
        <w:tab/>
        <w:t>if the customer is an individual—take reasonable steps to establish that the customer is the person the customer claims to be;</w:t>
      </w:r>
    </w:p>
    <w:p w14:paraId="63F2BC76" w14:textId="77777777" w:rsidR="00680432" w:rsidRPr="00D525A4" w:rsidRDefault="00680432" w:rsidP="00680432">
      <w:pPr>
        <w:pStyle w:val="paragraph"/>
      </w:pPr>
      <w:r w:rsidRPr="00D525A4">
        <w:tab/>
        <w:t>(b)</w:t>
      </w:r>
      <w:r w:rsidRPr="00D525A4">
        <w:tab/>
        <w:t>identify the ML/TF risk of the customer, based on KYC information about the customer that is reasonably available to the reporting entity before commencing to provide the designated service;</w:t>
      </w:r>
    </w:p>
    <w:p w14:paraId="7234EA48" w14:textId="77777777" w:rsidR="00680432" w:rsidRPr="00D525A4" w:rsidRDefault="00680432" w:rsidP="00680432">
      <w:pPr>
        <w:pStyle w:val="paragraph"/>
      </w:pPr>
      <w:r w:rsidRPr="00D525A4">
        <w:tab/>
        <w:t>(c)</w:t>
      </w:r>
      <w:r w:rsidRPr="00D525A4">
        <w:tab/>
        <w:t>collect KYC information about the customer that is appropriate to the ML/TF risk of the customer.</w:t>
      </w:r>
    </w:p>
    <w:p w14:paraId="730CD02D" w14:textId="105F11D8" w:rsidR="00680432" w:rsidRPr="00D525A4" w:rsidRDefault="00680432" w:rsidP="00680432">
      <w:pPr>
        <w:pStyle w:val="subsection"/>
      </w:pPr>
      <w:r w:rsidRPr="00D525A4">
        <w:tab/>
        <w:t>(4)</w:t>
      </w:r>
      <w:r w:rsidRPr="00D525A4">
        <w:tab/>
        <w:t xml:space="preserve">For the purposes of </w:t>
      </w:r>
      <w:r w:rsidR="009F59ED" w:rsidRPr="00D525A4">
        <w:t>paragraph 2</w:t>
      </w:r>
      <w:r w:rsidRPr="00D525A4">
        <w:t xml:space="preserve">9(f) of the Act, further requirements in the circumstances mentioned in </w:t>
      </w:r>
      <w:r w:rsidR="009F59ED" w:rsidRPr="00D525A4">
        <w:t>subsection (</w:t>
      </w:r>
      <w:r w:rsidRPr="00D525A4">
        <w:t>1) of this section are:</w:t>
      </w:r>
    </w:p>
    <w:p w14:paraId="4D9B50A6" w14:textId="77777777" w:rsidR="00680432" w:rsidRPr="00D525A4" w:rsidRDefault="00680432" w:rsidP="00680432">
      <w:pPr>
        <w:pStyle w:val="paragraph"/>
      </w:pPr>
      <w:r w:rsidRPr="00D525A4">
        <w:tab/>
        <w:t>(a)</w:t>
      </w:r>
      <w:r w:rsidRPr="00D525A4">
        <w:tab/>
        <w:t xml:space="preserve">the designated service must not involve the acquisition of an interest in a managed investment scheme to which section 1019B of the </w:t>
      </w:r>
      <w:r w:rsidRPr="00D525A4">
        <w:rPr>
          <w:i/>
        </w:rPr>
        <w:t>Corporations Act 2001</w:t>
      </w:r>
      <w:r w:rsidRPr="00D525A4">
        <w:t xml:space="preserve"> applies; and</w:t>
      </w:r>
    </w:p>
    <w:p w14:paraId="5A71C559" w14:textId="77777777" w:rsidR="00680432" w:rsidRPr="00D525A4" w:rsidRDefault="00680432" w:rsidP="00680432">
      <w:pPr>
        <w:pStyle w:val="paragraph"/>
      </w:pPr>
      <w:r w:rsidRPr="00D525A4">
        <w:tab/>
        <w:t>(b)</w:t>
      </w:r>
      <w:r w:rsidRPr="00D525A4">
        <w:tab/>
        <w:t>the reporting entity must not do any of the following:</w:t>
      </w:r>
    </w:p>
    <w:p w14:paraId="59ACC764" w14:textId="77777777" w:rsidR="00680432" w:rsidRPr="00D525A4" w:rsidRDefault="00680432" w:rsidP="00680432">
      <w:pPr>
        <w:pStyle w:val="paragraphsub"/>
      </w:pPr>
      <w:r w:rsidRPr="00D525A4">
        <w:tab/>
        <w:t>(i)</w:t>
      </w:r>
      <w:r w:rsidRPr="00D525A4">
        <w:tab/>
        <w:t>accept physical currency to fund the designated service;</w:t>
      </w:r>
    </w:p>
    <w:p w14:paraId="546A1BEC" w14:textId="77777777" w:rsidR="00680432" w:rsidRPr="00D525A4" w:rsidRDefault="00680432" w:rsidP="00680432">
      <w:pPr>
        <w:pStyle w:val="paragraphsub"/>
      </w:pPr>
      <w:r w:rsidRPr="00D525A4">
        <w:tab/>
        <w:t>(ii)</w:t>
      </w:r>
      <w:r w:rsidRPr="00D525A4">
        <w:tab/>
        <w:t>permit the customer to transfer, or otherwise part with, proceeds from a disposal of a security, derivative or foreign exchange contract;</w:t>
      </w:r>
    </w:p>
    <w:p w14:paraId="05BE095A" w14:textId="77777777" w:rsidR="00680432" w:rsidRPr="00D525A4" w:rsidRDefault="00680432" w:rsidP="00680432">
      <w:pPr>
        <w:pStyle w:val="paragraphsub"/>
      </w:pPr>
      <w:r w:rsidRPr="00D525A4">
        <w:tab/>
        <w:t>(iii)</w:t>
      </w:r>
      <w:r w:rsidRPr="00D525A4">
        <w:tab/>
        <w:t>resell, transfer, or otherwise part with a security, derivative or foreign exchange contract that has been acquired on behalf of the customer;</w:t>
      </w:r>
    </w:p>
    <w:p w14:paraId="1DC94E4C" w14:textId="344FC440" w:rsidR="00434E2B" w:rsidRPr="00D525A4" w:rsidRDefault="00680432" w:rsidP="00680432">
      <w:pPr>
        <w:pStyle w:val="paragraphsub"/>
      </w:pPr>
      <w:r w:rsidRPr="00D525A4">
        <w:tab/>
        <w:t>(iv)</w:t>
      </w:r>
      <w:r w:rsidRPr="00D525A4">
        <w:tab/>
        <w:t>allow the customer to be recredited with or obtain a refund of the purchase price.</w:t>
      </w:r>
    </w:p>
    <w:p w14:paraId="2188F653" w14:textId="6BE38D7E" w:rsidR="000F52AC" w:rsidRPr="00D525A4" w:rsidRDefault="0013261E" w:rsidP="00A25E52">
      <w:pPr>
        <w:pStyle w:val="ActHead3"/>
        <w:pageBreakBefore/>
      </w:pPr>
      <w:bookmarkStart w:id="114" w:name="_Toc198225000"/>
      <w:r w:rsidRPr="00D525A4">
        <w:rPr>
          <w:rStyle w:val="CharDivNo"/>
        </w:rPr>
        <w:lastRenderedPageBreak/>
        <w:t>Division 4</w:t>
      </w:r>
      <w:r w:rsidR="000F52AC" w:rsidRPr="00D525A4">
        <w:t>—</w:t>
      </w:r>
      <w:r w:rsidR="000002BC" w:rsidRPr="00D525A4">
        <w:rPr>
          <w:rStyle w:val="CharDivText"/>
        </w:rPr>
        <w:t>Circumstances in which reporting entity taken to comply with requirements</w:t>
      </w:r>
      <w:bookmarkEnd w:id="114"/>
    </w:p>
    <w:p w14:paraId="1E5E93FD" w14:textId="7556D666" w:rsidR="000F52AC" w:rsidRPr="00D525A4" w:rsidRDefault="00EC097E" w:rsidP="000F52AC">
      <w:pPr>
        <w:pStyle w:val="ActHead5"/>
      </w:pPr>
      <w:bookmarkStart w:id="115" w:name="_Toc198225001"/>
      <w:r w:rsidRPr="00D525A4">
        <w:rPr>
          <w:rStyle w:val="CharSectno"/>
        </w:rPr>
        <w:t>5</w:t>
      </w:r>
      <w:r w:rsidR="00D525A4">
        <w:rPr>
          <w:rStyle w:val="CharSectno"/>
        </w:rPr>
        <w:noBreakHyphen/>
      </w:r>
      <w:r w:rsidRPr="00D525A4">
        <w:rPr>
          <w:rStyle w:val="CharSectno"/>
        </w:rPr>
        <w:t>12</w:t>
      </w:r>
      <w:r w:rsidR="000F52AC" w:rsidRPr="00D525A4">
        <w:t xml:space="preserve">  </w:t>
      </w:r>
      <w:r w:rsidR="000002BC" w:rsidRPr="00D525A4">
        <w:t>I</w:t>
      </w:r>
      <w:r w:rsidR="000F52AC" w:rsidRPr="00D525A4">
        <w:t>nitial customer due diligence—previous carrying out of applicable customer identification procedure</w:t>
      </w:r>
      <w:bookmarkEnd w:id="115"/>
    </w:p>
    <w:p w14:paraId="2D600F7A" w14:textId="05D385F6" w:rsidR="000F52AC" w:rsidRPr="00D525A4" w:rsidRDefault="000F52AC" w:rsidP="000F52AC">
      <w:pPr>
        <w:pStyle w:val="subsection"/>
      </w:pPr>
      <w:r w:rsidRPr="00D525A4">
        <w:tab/>
      </w:r>
      <w:r w:rsidRPr="00D525A4">
        <w:tab/>
        <w:t xml:space="preserve">For the purposes of </w:t>
      </w:r>
      <w:r w:rsidR="009F59ED" w:rsidRPr="00D525A4">
        <w:t>paragraph 2</w:t>
      </w:r>
      <w:r w:rsidRPr="00D525A4">
        <w:t xml:space="preserve">8(6)(b) of the Act, a reporting entity is taken to have complied with each of the matters mentioned in </w:t>
      </w:r>
      <w:r w:rsidR="0010391B" w:rsidRPr="00D525A4">
        <w:t>subsection 2</w:t>
      </w:r>
      <w:r w:rsidRPr="00D525A4">
        <w:t xml:space="preserve">8(2) in relation to a customer if the reporting entity had, before </w:t>
      </w:r>
      <w:r w:rsidR="0010391B" w:rsidRPr="00D525A4">
        <w:t>31 March</w:t>
      </w:r>
      <w:r w:rsidRPr="00D525A4">
        <w:t xml:space="preserve"> 2026, carried out the applicable customer identification procedure in respect of that customer (within the meaning of the Act as in force immediately before that date).</w:t>
      </w:r>
    </w:p>
    <w:p w14:paraId="593E887F" w14:textId="3AE1FCF1" w:rsidR="000F52AC" w:rsidRPr="00D525A4" w:rsidRDefault="00EC097E" w:rsidP="000F52AC">
      <w:pPr>
        <w:pStyle w:val="ActHead5"/>
      </w:pPr>
      <w:bookmarkStart w:id="116" w:name="_Toc198225002"/>
      <w:r w:rsidRPr="00D525A4">
        <w:rPr>
          <w:rStyle w:val="CharSectno"/>
        </w:rPr>
        <w:t>5</w:t>
      </w:r>
      <w:r w:rsidR="00D525A4">
        <w:rPr>
          <w:rStyle w:val="CharSectno"/>
        </w:rPr>
        <w:noBreakHyphen/>
      </w:r>
      <w:r w:rsidRPr="00D525A4">
        <w:rPr>
          <w:rStyle w:val="CharSectno"/>
        </w:rPr>
        <w:t>13</w:t>
      </w:r>
      <w:r w:rsidR="000F52AC" w:rsidRPr="00D525A4">
        <w:t xml:space="preserve">  </w:t>
      </w:r>
      <w:r w:rsidR="000002BC" w:rsidRPr="00D525A4">
        <w:t>I</w:t>
      </w:r>
      <w:r w:rsidR="000F52AC" w:rsidRPr="00D525A4">
        <w:t>nitial customer due diligence—previous compliance in a foreign country</w:t>
      </w:r>
      <w:bookmarkEnd w:id="116"/>
    </w:p>
    <w:p w14:paraId="4F074D6C" w14:textId="50347D3C" w:rsidR="000F52AC" w:rsidRPr="00D525A4" w:rsidRDefault="000F52AC" w:rsidP="000F52AC">
      <w:pPr>
        <w:pStyle w:val="subsection"/>
      </w:pPr>
      <w:r w:rsidRPr="00D525A4">
        <w:tab/>
      </w:r>
      <w:r w:rsidRPr="00D525A4">
        <w:tab/>
        <w:t xml:space="preserve">For the purposes of </w:t>
      </w:r>
      <w:r w:rsidR="009F59ED" w:rsidRPr="00D525A4">
        <w:t>paragraph 2</w:t>
      </w:r>
      <w:r w:rsidRPr="00D525A4">
        <w:t xml:space="preserve">8(6)(b) of the Act, a reporting entity is taken to have complied with a matter mentioned in </w:t>
      </w:r>
      <w:r w:rsidR="0010391B" w:rsidRPr="00D525A4">
        <w:t>subsection 2</w:t>
      </w:r>
      <w:r w:rsidRPr="00D525A4">
        <w:t>8(2) in relation to a customer if:</w:t>
      </w:r>
    </w:p>
    <w:p w14:paraId="6632078B" w14:textId="42EF0A33" w:rsidR="000F52AC" w:rsidRPr="00D525A4" w:rsidRDefault="000F52AC" w:rsidP="000F52AC">
      <w:pPr>
        <w:pStyle w:val="paragraph"/>
      </w:pPr>
      <w:r w:rsidRPr="00D525A4">
        <w:tab/>
        <w:t>(a)</w:t>
      </w:r>
      <w:r w:rsidRPr="00D525A4">
        <w:tab/>
        <w:t>the reporting entity or another member of the reporting group of the reporting entity has previously commenced to provide a service (whether or not a designated service) to the customer at or through a permanent establishment in a foreign country; and</w:t>
      </w:r>
    </w:p>
    <w:p w14:paraId="28583B23" w14:textId="2D5CCC64" w:rsidR="000F52AC" w:rsidRPr="00D525A4" w:rsidRDefault="000F52AC" w:rsidP="000F52AC">
      <w:pPr>
        <w:pStyle w:val="paragraph"/>
      </w:pPr>
      <w:r w:rsidRPr="00D525A4">
        <w:tab/>
        <w:t>(b)</w:t>
      </w:r>
      <w:r w:rsidRPr="00D525A4">
        <w:tab/>
        <w:t xml:space="preserve">laws of </w:t>
      </w:r>
      <w:r w:rsidR="003F785F" w:rsidRPr="00D525A4">
        <w:t>the</w:t>
      </w:r>
      <w:r w:rsidRPr="00D525A4">
        <w:t xml:space="preserve"> foreign country </w:t>
      </w:r>
      <w:r w:rsidR="003F785F" w:rsidRPr="00D525A4">
        <w:t>giving</w:t>
      </w:r>
      <w:r w:rsidRPr="00D525A4">
        <w:t xml:space="preserve"> effect to the FATF </w:t>
      </w:r>
      <w:r w:rsidR="00B77985" w:rsidRPr="00D525A4">
        <w:t>R</w:t>
      </w:r>
      <w:r w:rsidRPr="00D525A4">
        <w:t>ecommendations relating to customer due diligence and record</w:t>
      </w:r>
      <w:r w:rsidR="00D525A4">
        <w:noBreakHyphen/>
      </w:r>
      <w:r w:rsidRPr="00D525A4">
        <w:t>keeping</w:t>
      </w:r>
      <w:r w:rsidR="003F785F" w:rsidRPr="00D525A4">
        <w:t xml:space="preserve"> applied in relation to the provision of the service</w:t>
      </w:r>
      <w:r w:rsidRPr="00D525A4">
        <w:t>; and</w:t>
      </w:r>
    </w:p>
    <w:p w14:paraId="415437FB" w14:textId="77777777" w:rsidR="003F785F" w:rsidRPr="00D525A4" w:rsidRDefault="000F52AC" w:rsidP="000F52AC">
      <w:pPr>
        <w:pStyle w:val="paragraph"/>
      </w:pPr>
      <w:r w:rsidRPr="00D525A4">
        <w:tab/>
        <w:t>(c)</w:t>
      </w:r>
      <w:r w:rsidRPr="00D525A4">
        <w:tab/>
      </w:r>
      <w:r w:rsidR="003F785F" w:rsidRPr="00D525A4">
        <w:t>either:</w:t>
      </w:r>
    </w:p>
    <w:p w14:paraId="0AFD9D9F" w14:textId="1FA0392B" w:rsidR="003F785F" w:rsidRPr="00D525A4" w:rsidRDefault="003F785F" w:rsidP="003F785F">
      <w:pPr>
        <w:pStyle w:val="paragraphsub"/>
      </w:pPr>
      <w:r w:rsidRPr="00D525A4">
        <w:tab/>
        <w:t>(i)</w:t>
      </w:r>
      <w:r w:rsidRPr="00D525A4">
        <w:tab/>
        <w:t>the reporting entity or other member was not required to establish the matter under those laws in relation to the provision of the service</w:t>
      </w:r>
      <w:r w:rsidR="005734A1" w:rsidRPr="00D525A4">
        <w:t xml:space="preserve"> on the basis that the risks of money laundering, financing of terrorism and proliferation financing associated with the provision of the service </w:t>
      </w:r>
      <w:r w:rsidR="00645735" w:rsidRPr="00D525A4">
        <w:t xml:space="preserve">to the customer </w:t>
      </w:r>
      <w:r w:rsidR="005734A1" w:rsidRPr="00D525A4">
        <w:t>were low</w:t>
      </w:r>
      <w:r w:rsidRPr="00D525A4">
        <w:t>; or</w:t>
      </w:r>
    </w:p>
    <w:p w14:paraId="38F600B5" w14:textId="4229B927" w:rsidR="003F785F" w:rsidRPr="00D525A4" w:rsidRDefault="003F785F" w:rsidP="003F785F">
      <w:pPr>
        <w:pStyle w:val="paragraphsub"/>
      </w:pPr>
      <w:r w:rsidRPr="00D525A4">
        <w:tab/>
        <w:t>(ii)</w:t>
      </w:r>
      <w:r w:rsidRPr="00D525A4">
        <w:tab/>
        <w:t>the reporting entity or other member established the matter in relation to the provision of the service as required by those laws; and</w:t>
      </w:r>
    </w:p>
    <w:p w14:paraId="7131FCC5" w14:textId="77777777" w:rsidR="000F52AC" w:rsidRPr="00D525A4" w:rsidRDefault="000F52AC" w:rsidP="000F52AC">
      <w:pPr>
        <w:pStyle w:val="paragraph"/>
      </w:pPr>
      <w:r w:rsidRPr="00D525A4">
        <w:tab/>
        <w:t>(d)</w:t>
      </w:r>
      <w:r w:rsidRPr="00D525A4">
        <w:tab/>
        <w:t>either:</w:t>
      </w:r>
    </w:p>
    <w:p w14:paraId="25BB0F26" w14:textId="77777777" w:rsidR="000F52AC" w:rsidRPr="00D525A4" w:rsidRDefault="000F52AC" w:rsidP="000F52AC">
      <w:pPr>
        <w:pStyle w:val="paragraphsub"/>
      </w:pPr>
      <w:r w:rsidRPr="00D525A4">
        <w:tab/>
        <w:t>(i)</w:t>
      </w:r>
      <w:r w:rsidRPr="00D525A4">
        <w:tab/>
        <w:t>the reporting entity holds the KYC information collected on the customer, and the reliable and independent data used to verify the KYC information, in connection with the provision of the service; or</w:t>
      </w:r>
    </w:p>
    <w:p w14:paraId="1440E8C5" w14:textId="77777777" w:rsidR="000F52AC" w:rsidRPr="00D525A4" w:rsidRDefault="000F52AC" w:rsidP="000F52AC">
      <w:pPr>
        <w:pStyle w:val="paragraphsub"/>
      </w:pPr>
      <w:r w:rsidRPr="00D525A4">
        <w:tab/>
        <w:t>(ii)</w:t>
      </w:r>
      <w:r w:rsidRPr="00D525A4">
        <w:tab/>
        <w:t>the reporting entity has in place an arrangement permitting immediate access to the KYC information collected on the customer by the other member of the reporting group, and the reliable and independent data used to verify the KYC information, in connection with the provision of the service.</w:t>
      </w:r>
    </w:p>
    <w:p w14:paraId="7104E97B" w14:textId="3D5759F7" w:rsidR="00307E92" w:rsidRPr="00D525A4" w:rsidRDefault="00EC097E" w:rsidP="00307E92">
      <w:pPr>
        <w:pStyle w:val="ActHead5"/>
      </w:pPr>
      <w:bookmarkStart w:id="117" w:name="_Toc198225003"/>
      <w:r w:rsidRPr="00D525A4">
        <w:rPr>
          <w:rStyle w:val="CharSectno"/>
        </w:rPr>
        <w:t>5</w:t>
      </w:r>
      <w:r w:rsidR="00D525A4">
        <w:rPr>
          <w:rStyle w:val="CharSectno"/>
        </w:rPr>
        <w:noBreakHyphen/>
      </w:r>
      <w:r w:rsidRPr="00D525A4">
        <w:rPr>
          <w:rStyle w:val="CharSectno"/>
        </w:rPr>
        <w:t>14</w:t>
      </w:r>
      <w:r w:rsidR="00307E92" w:rsidRPr="00D525A4">
        <w:t xml:space="preserve">  </w:t>
      </w:r>
      <w:r w:rsidR="00AD4706" w:rsidRPr="00D525A4">
        <w:t>Initial customer due diligence—e</w:t>
      </w:r>
      <w:r w:rsidR="00307E92" w:rsidRPr="00D525A4">
        <w:t>stablishing the identity of any person on whose behalf the customer is receiving the designated service</w:t>
      </w:r>
      <w:bookmarkEnd w:id="117"/>
    </w:p>
    <w:p w14:paraId="20ACDA55" w14:textId="0B47CF78" w:rsidR="00AD4706" w:rsidRPr="00D525A4" w:rsidRDefault="00AD4706" w:rsidP="00AD4706">
      <w:pPr>
        <w:pStyle w:val="subsection"/>
      </w:pPr>
      <w:r w:rsidRPr="00D525A4">
        <w:tab/>
      </w:r>
      <w:r w:rsidRPr="00D525A4">
        <w:tab/>
        <w:t xml:space="preserve">For the purposes of </w:t>
      </w:r>
      <w:r w:rsidR="009F59ED" w:rsidRPr="00D525A4">
        <w:t>paragraph 2</w:t>
      </w:r>
      <w:r w:rsidRPr="00D525A4">
        <w:t xml:space="preserve">8(6)(b) of the Act, a reporting entity is taken to have complied with the matter mentioned in </w:t>
      </w:r>
      <w:r w:rsidR="009F59ED" w:rsidRPr="00D525A4">
        <w:t>paragraph 2</w:t>
      </w:r>
      <w:r w:rsidRPr="00D525A4">
        <w:t>8(2)(b) in relation to a customer if the reporting entity:</w:t>
      </w:r>
    </w:p>
    <w:p w14:paraId="2240BE61" w14:textId="77777777" w:rsidR="00AD4706" w:rsidRPr="00D525A4" w:rsidRDefault="00AD4706" w:rsidP="00AD4706">
      <w:pPr>
        <w:pStyle w:val="paragraph"/>
      </w:pPr>
      <w:r w:rsidRPr="00D525A4">
        <w:lastRenderedPageBreak/>
        <w:tab/>
        <w:t>(a)</w:t>
      </w:r>
      <w:r w:rsidRPr="00D525A4">
        <w:tab/>
        <w:t>establishes on reasonable grounds the identity of the beneficiaries of a trust or an equivalent foreign arrangement such as a fiducie, treuhand or fideicomiso on whose behalf the customer is receiving the designated service; or</w:t>
      </w:r>
    </w:p>
    <w:p w14:paraId="28D45E5D" w14:textId="5FC58EDD" w:rsidR="00AD4706" w:rsidRPr="00D525A4" w:rsidRDefault="00AD4706" w:rsidP="00AD4706">
      <w:pPr>
        <w:pStyle w:val="paragraph"/>
      </w:pPr>
      <w:r w:rsidRPr="00D525A4">
        <w:tab/>
        <w:t>(b)</w:t>
      </w:r>
      <w:r w:rsidRPr="00D525A4">
        <w:tab/>
        <w:t>if the nature of the trust or equivalent arrangement means that is it not possible to identify each beneficiary—establishes on reasonable grounds a description of each class of beneficiary on whose behalf the customer is receiving the designated service; or</w:t>
      </w:r>
    </w:p>
    <w:p w14:paraId="7634E86E" w14:textId="1D32C355" w:rsidR="00AD4706" w:rsidRPr="00D525A4" w:rsidRDefault="00AD4706" w:rsidP="00AD4706">
      <w:pPr>
        <w:pStyle w:val="paragraph"/>
      </w:pPr>
      <w:r w:rsidRPr="00D525A4">
        <w:tab/>
        <w:t>(c)</w:t>
      </w:r>
      <w:r w:rsidRPr="00D525A4">
        <w:tab/>
        <w:t>establishes on reasonable grounds that the customer is not receiving the designated service on behalf of a beneficiary or class of beneficiary</w:t>
      </w:r>
      <w:r w:rsidR="00296C97" w:rsidRPr="00D525A4">
        <w:t xml:space="preserve"> of a trust or an equivalent foreign arrangement such as a fiducie, treuhand or fideicomiso</w:t>
      </w:r>
      <w:r w:rsidRPr="00D525A4">
        <w:t>.</w:t>
      </w:r>
    </w:p>
    <w:p w14:paraId="514F575A" w14:textId="7A83D163" w:rsidR="002E3DF4" w:rsidRPr="00D525A4" w:rsidRDefault="00EC097E" w:rsidP="002E3DF4">
      <w:pPr>
        <w:pStyle w:val="ActHead5"/>
      </w:pPr>
      <w:bookmarkStart w:id="118" w:name="_Toc198225004"/>
      <w:r w:rsidRPr="00D525A4">
        <w:rPr>
          <w:rStyle w:val="CharSectno"/>
        </w:rPr>
        <w:t>5</w:t>
      </w:r>
      <w:r w:rsidR="00D525A4">
        <w:rPr>
          <w:rStyle w:val="CharSectno"/>
        </w:rPr>
        <w:noBreakHyphen/>
      </w:r>
      <w:r w:rsidRPr="00D525A4">
        <w:rPr>
          <w:rStyle w:val="CharSectno"/>
        </w:rPr>
        <w:t>15</w:t>
      </w:r>
      <w:r w:rsidR="002E3DF4" w:rsidRPr="00D525A4">
        <w:t xml:space="preserve">  Initial customer due diligence—identity of beneficial owners of certain customers</w:t>
      </w:r>
      <w:bookmarkEnd w:id="118"/>
    </w:p>
    <w:p w14:paraId="6BD70577" w14:textId="3436199F" w:rsidR="002E3DF4" w:rsidRPr="00D525A4" w:rsidRDefault="002E3DF4" w:rsidP="002E3DF4">
      <w:pPr>
        <w:pStyle w:val="subsection"/>
      </w:pPr>
      <w:r w:rsidRPr="00D525A4">
        <w:tab/>
      </w:r>
      <w:r w:rsidRPr="00D525A4">
        <w:tab/>
        <w:t xml:space="preserve">For the purposes of </w:t>
      </w:r>
      <w:r w:rsidR="009F59ED" w:rsidRPr="00D525A4">
        <w:t>paragraph 2</w:t>
      </w:r>
      <w:r w:rsidRPr="00D525A4">
        <w:t xml:space="preserve">8(6)(b) of the Act, a reporting entity is taken to have complied with the matter mentioned in </w:t>
      </w:r>
      <w:r w:rsidR="009F59ED" w:rsidRPr="00D525A4">
        <w:t>paragraph 2</w:t>
      </w:r>
      <w:r w:rsidRPr="00D525A4">
        <w:t>8(2)(d) in relation to a customer if:</w:t>
      </w:r>
    </w:p>
    <w:p w14:paraId="32F9840B" w14:textId="77777777" w:rsidR="002E3DF4" w:rsidRPr="00D525A4" w:rsidRDefault="002E3DF4" w:rsidP="002E3DF4">
      <w:pPr>
        <w:pStyle w:val="paragraph"/>
      </w:pPr>
      <w:r w:rsidRPr="00D525A4">
        <w:tab/>
        <w:t>(a)</w:t>
      </w:r>
      <w:r w:rsidRPr="00D525A4">
        <w:tab/>
        <w:t>the ML/TF risk of the customer is low; and</w:t>
      </w:r>
    </w:p>
    <w:p w14:paraId="294B5D5C" w14:textId="2BC31A5B" w:rsidR="002E3DF4" w:rsidRPr="00D525A4" w:rsidRDefault="002E3DF4" w:rsidP="002E3DF4">
      <w:pPr>
        <w:pStyle w:val="paragraph"/>
      </w:pPr>
      <w:r w:rsidRPr="00D525A4">
        <w:tab/>
        <w:t>(b)</w:t>
      </w:r>
      <w:r w:rsidRPr="00D525A4">
        <w:tab/>
      </w:r>
      <w:r w:rsidR="0013261E" w:rsidRPr="00D525A4">
        <w:t>section 3</w:t>
      </w:r>
      <w:r w:rsidRPr="00D525A4">
        <w:t>2 of the Act does not apply to the customer; and</w:t>
      </w:r>
    </w:p>
    <w:p w14:paraId="4B495136" w14:textId="7BE56D51" w:rsidR="002E3DF4" w:rsidRPr="00D525A4" w:rsidRDefault="002E3DF4" w:rsidP="002E3DF4">
      <w:pPr>
        <w:pStyle w:val="paragraph"/>
      </w:pPr>
      <w:r w:rsidRPr="00D525A4">
        <w:tab/>
        <w:t>(c)</w:t>
      </w:r>
      <w:r w:rsidRPr="00D525A4">
        <w:tab/>
        <w:t>the reporting entity has established on reasonable grounds that the customer is</w:t>
      </w:r>
      <w:r w:rsidR="00296C97" w:rsidRPr="00D525A4">
        <w:t>, or is controlled by</w:t>
      </w:r>
      <w:r w:rsidRPr="00D525A4">
        <w:t>:</w:t>
      </w:r>
    </w:p>
    <w:p w14:paraId="56BD66B2" w14:textId="77777777" w:rsidR="002E3DF4" w:rsidRPr="00D525A4" w:rsidRDefault="002E3DF4" w:rsidP="002E3DF4">
      <w:pPr>
        <w:pStyle w:val="paragraphsub"/>
      </w:pPr>
      <w:r w:rsidRPr="00D525A4">
        <w:tab/>
        <w:t>(i)</w:t>
      </w:r>
      <w:r w:rsidRPr="00D525A4">
        <w:tab/>
        <w:t>a government body; or</w:t>
      </w:r>
    </w:p>
    <w:p w14:paraId="3B19B1F3" w14:textId="2CF63A2C" w:rsidR="002E3DF4" w:rsidRPr="00D525A4" w:rsidRDefault="002E3DF4" w:rsidP="002E3DF4">
      <w:pPr>
        <w:pStyle w:val="paragraphsub"/>
      </w:pPr>
      <w:r w:rsidRPr="00D525A4">
        <w:tab/>
        <w:t>(ii)</w:t>
      </w:r>
      <w:r w:rsidRPr="00D525A4">
        <w:tab/>
        <w:t xml:space="preserve">an entity that is subject to oversight by a </w:t>
      </w:r>
      <w:r w:rsidR="00296C97" w:rsidRPr="00D525A4">
        <w:t>prudential, insurance, or investor protection regulator</w:t>
      </w:r>
      <w:r w:rsidRPr="00D525A4">
        <w:t xml:space="preserve"> through registration or licensing requirements; or</w:t>
      </w:r>
    </w:p>
    <w:p w14:paraId="63CC97B5" w14:textId="77777777" w:rsidR="002E3DF4" w:rsidRPr="00D525A4" w:rsidRDefault="002E3DF4" w:rsidP="002E3DF4">
      <w:pPr>
        <w:pStyle w:val="paragraphsub"/>
      </w:pPr>
      <w:r w:rsidRPr="00D525A4">
        <w:tab/>
        <w:t>(iii)</w:t>
      </w:r>
      <w:r w:rsidRPr="00D525A4">
        <w:tab/>
        <w:t>a corporation or association of homeowners in a strata title or community title scheme; or</w:t>
      </w:r>
    </w:p>
    <w:p w14:paraId="7C2C09CE" w14:textId="2FA7DD00" w:rsidR="002E3DF4" w:rsidRPr="00D525A4" w:rsidRDefault="002E3DF4" w:rsidP="002E3DF4">
      <w:pPr>
        <w:pStyle w:val="paragraphsub"/>
      </w:pPr>
      <w:r w:rsidRPr="00D525A4">
        <w:tab/>
        <w:t>(iv)</w:t>
      </w:r>
      <w:r w:rsidRPr="00D525A4">
        <w:tab/>
        <w:t>a listed public company that is subject to public disclosure requirements (however imposed) that ensure transparency regarding the identi</w:t>
      </w:r>
      <w:r w:rsidR="005B2F83" w:rsidRPr="00D525A4">
        <w:t>t</w:t>
      </w:r>
      <w:r w:rsidRPr="00D525A4">
        <w:t>y of any beneficial owners.</w:t>
      </w:r>
    </w:p>
    <w:p w14:paraId="4266FB2B" w14:textId="5AF600A6" w:rsidR="001A5ACE" w:rsidRPr="00D525A4" w:rsidRDefault="00EC097E" w:rsidP="001A5ACE">
      <w:pPr>
        <w:pStyle w:val="ActHead5"/>
      </w:pPr>
      <w:bookmarkStart w:id="119" w:name="_Toc198225005"/>
      <w:r w:rsidRPr="00D525A4">
        <w:rPr>
          <w:rStyle w:val="CharSectno"/>
        </w:rPr>
        <w:t>5</w:t>
      </w:r>
      <w:r w:rsidR="00D525A4">
        <w:rPr>
          <w:rStyle w:val="CharSectno"/>
        </w:rPr>
        <w:noBreakHyphen/>
      </w:r>
      <w:r w:rsidRPr="00D525A4">
        <w:rPr>
          <w:rStyle w:val="CharSectno"/>
        </w:rPr>
        <w:t>16</w:t>
      </w:r>
      <w:r w:rsidR="001A5ACE" w:rsidRPr="00D525A4">
        <w:t xml:space="preserve">  Initial customer due diligence—real estate transactions</w:t>
      </w:r>
      <w:bookmarkEnd w:id="119"/>
    </w:p>
    <w:p w14:paraId="03BE82C8" w14:textId="10891CB4" w:rsidR="001A5ACE" w:rsidRPr="00D525A4" w:rsidRDefault="001A5ACE" w:rsidP="001A5ACE">
      <w:pPr>
        <w:pStyle w:val="subsection"/>
      </w:pPr>
      <w:r w:rsidRPr="00D525A4">
        <w:tab/>
      </w:r>
      <w:r w:rsidRPr="00D525A4">
        <w:tab/>
        <w:t xml:space="preserve">For the purposes of </w:t>
      </w:r>
      <w:r w:rsidR="009F59ED" w:rsidRPr="00D525A4">
        <w:t>paragraph 2</w:t>
      </w:r>
      <w:r w:rsidRPr="00D525A4">
        <w:t xml:space="preserve">8(6)(b) of the Act, a reporting entity is taken to have complied with a matter mentioned in </w:t>
      </w:r>
      <w:r w:rsidR="009F59ED" w:rsidRPr="00D525A4">
        <w:t>paragraph 2</w:t>
      </w:r>
      <w:r w:rsidRPr="00D525A4">
        <w:t>8(2)(b), (c), (d), (e) or (g) of the Act in relation to a customer if:</w:t>
      </w:r>
    </w:p>
    <w:p w14:paraId="3EABE42F" w14:textId="77777777" w:rsidR="001A5ACE" w:rsidRPr="00D525A4" w:rsidRDefault="001A5ACE" w:rsidP="001A5ACE">
      <w:pPr>
        <w:pStyle w:val="paragraph"/>
      </w:pPr>
      <w:r w:rsidRPr="00D525A4">
        <w:tab/>
        <w:t>(a)</w:t>
      </w:r>
      <w:r w:rsidRPr="00D525A4">
        <w:tab/>
        <w:t>the only kind of designated service the reporting entity is proposing to provide to the customer is a designated service covered by:</w:t>
      </w:r>
    </w:p>
    <w:p w14:paraId="635DBB62" w14:textId="674C51EF" w:rsidR="001A5ACE" w:rsidRPr="00D525A4" w:rsidRDefault="001A5ACE" w:rsidP="001A5ACE">
      <w:pPr>
        <w:pStyle w:val="paragraphsub"/>
      </w:pPr>
      <w:r w:rsidRPr="00D525A4">
        <w:tab/>
        <w:t>(i)</w:t>
      </w:r>
      <w:r w:rsidRPr="00D525A4">
        <w:tab/>
      </w:r>
      <w:r w:rsidR="0013261E" w:rsidRPr="00D525A4">
        <w:t>item 1</w:t>
      </w:r>
      <w:r w:rsidRPr="00D525A4">
        <w:t xml:space="preserve"> of table 5 in </w:t>
      </w:r>
      <w:r w:rsidR="0010391B" w:rsidRPr="00D525A4">
        <w:t>section 6</w:t>
      </w:r>
      <w:r w:rsidRPr="00D525A4">
        <w:t xml:space="preserve"> of the Act (brokering the sale, purchase or transfer of real estate); or</w:t>
      </w:r>
    </w:p>
    <w:p w14:paraId="1DEA966A" w14:textId="173E8121" w:rsidR="001A5ACE" w:rsidRPr="00D525A4" w:rsidRDefault="001A5ACE" w:rsidP="001A5ACE">
      <w:pPr>
        <w:pStyle w:val="paragraphsub"/>
      </w:pPr>
      <w:r w:rsidRPr="00D525A4">
        <w:tab/>
        <w:t>(ii)</w:t>
      </w:r>
      <w:r w:rsidRPr="00D525A4">
        <w:tab/>
      </w:r>
      <w:r w:rsidR="0013261E" w:rsidRPr="00D525A4">
        <w:t>item 1</w:t>
      </w:r>
      <w:r w:rsidRPr="00D525A4">
        <w:t xml:space="preserve"> of table 6 in </w:t>
      </w:r>
      <w:r w:rsidR="0010391B" w:rsidRPr="00D525A4">
        <w:t>section 6</w:t>
      </w:r>
      <w:r w:rsidRPr="00D525A4">
        <w:t xml:space="preserve"> of the Act (assisting a person in a transaction to sell, buy or otherwise transfer real estate); and</w:t>
      </w:r>
    </w:p>
    <w:p w14:paraId="4B9924FE" w14:textId="77777777" w:rsidR="001A5ACE" w:rsidRPr="00D525A4" w:rsidRDefault="001A5ACE" w:rsidP="001A5ACE">
      <w:pPr>
        <w:pStyle w:val="paragraph"/>
      </w:pPr>
      <w:r w:rsidRPr="00D525A4">
        <w:tab/>
        <w:t>(b)</w:t>
      </w:r>
      <w:r w:rsidRPr="00D525A4">
        <w:tab/>
        <w:t>where the customer is an individual—the reporting entity has taken reasonable steps to establish that the customer is the person the customer claims to be; and</w:t>
      </w:r>
    </w:p>
    <w:p w14:paraId="4D2CFEDC" w14:textId="77777777" w:rsidR="001A5ACE" w:rsidRPr="00D525A4" w:rsidRDefault="001A5ACE" w:rsidP="001A5ACE">
      <w:pPr>
        <w:pStyle w:val="paragraph"/>
      </w:pPr>
      <w:r w:rsidRPr="00D525A4">
        <w:lastRenderedPageBreak/>
        <w:tab/>
        <w:t>(c)</w:t>
      </w:r>
      <w:r w:rsidRPr="00D525A4">
        <w:tab/>
        <w:t>the reporting entity has identified the ML/TF risk of the customer, based on KYC information about the customer that is reasonably available to the reporting entity before commencing to provide the designated service; and</w:t>
      </w:r>
    </w:p>
    <w:p w14:paraId="523A2EEA" w14:textId="77777777" w:rsidR="001A5ACE" w:rsidRPr="00D525A4" w:rsidRDefault="001A5ACE" w:rsidP="001A5ACE">
      <w:pPr>
        <w:pStyle w:val="paragraph"/>
      </w:pPr>
      <w:r w:rsidRPr="00D525A4">
        <w:tab/>
        <w:t>(d)</w:t>
      </w:r>
      <w:r w:rsidRPr="00D525A4">
        <w:tab/>
        <w:t>the reporting entity has collected KYC information about the customer that is appropriate to the ML/TF risk of the customer; and</w:t>
      </w:r>
    </w:p>
    <w:p w14:paraId="1D269D8D" w14:textId="77777777" w:rsidR="001A5ACE" w:rsidRPr="00D525A4" w:rsidRDefault="001A5ACE" w:rsidP="001A5ACE">
      <w:pPr>
        <w:pStyle w:val="paragraph"/>
      </w:pPr>
      <w:r w:rsidRPr="00D525A4">
        <w:tab/>
        <w:t>(e)</w:t>
      </w:r>
      <w:r w:rsidRPr="00D525A4">
        <w:tab/>
        <w:t>the reporting entity is a participant in an arrangement in which another participating reporting entity that will provide a designated service related to the sale, purchase or transfer of the real estate will be able to collect and verify KYC information relating to the customer in accordance with paragraphs 28(3)(c) and (d) of the Act; and</w:t>
      </w:r>
    </w:p>
    <w:p w14:paraId="6D76FC31" w14:textId="77777777" w:rsidR="001A5ACE" w:rsidRPr="00D525A4" w:rsidRDefault="001A5ACE" w:rsidP="001A5ACE">
      <w:pPr>
        <w:pStyle w:val="paragraph"/>
        <w:rPr>
          <w:i/>
          <w:iCs/>
        </w:rPr>
      </w:pPr>
      <w:r w:rsidRPr="00D525A4">
        <w:tab/>
        <w:t>(f)</w:t>
      </w:r>
      <w:r w:rsidRPr="00D525A4">
        <w:tab/>
        <w:t>the arrangement enables the reporting entity to obtain the KYC information collected by another participating reporting entity, and copies of the data used by the other entity to verify the KYC information, before the settlement of the sale, purchase or transfer; and</w:t>
      </w:r>
    </w:p>
    <w:p w14:paraId="08B5D911" w14:textId="35F354F3" w:rsidR="001A5ACE" w:rsidRPr="00D525A4" w:rsidRDefault="001A5ACE" w:rsidP="001A5ACE">
      <w:pPr>
        <w:pStyle w:val="paragraph"/>
      </w:pPr>
      <w:r w:rsidRPr="00D525A4">
        <w:rPr>
          <w:i/>
          <w:iCs/>
        </w:rPr>
        <w:tab/>
      </w:r>
      <w:r w:rsidRPr="00D525A4">
        <w:t>(g)</w:t>
      </w:r>
      <w:r w:rsidRPr="00D525A4">
        <w:tab/>
        <w:t>the arrangement documents the responsibilities of each participant, including responsibilities for record</w:t>
      </w:r>
      <w:r w:rsidR="00D525A4">
        <w:noBreakHyphen/>
      </w:r>
      <w:r w:rsidRPr="00D525A4">
        <w:t>keeping.</w:t>
      </w:r>
    </w:p>
    <w:p w14:paraId="192E7761" w14:textId="5FFC1751" w:rsidR="000F52AC" w:rsidRPr="00D525A4" w:rsidRDefault="00EC097E" w:rsidP="000F52AC">
      <w:pPr>
        <w:pStyle w:val="ActHead5"/>
      </w:pPr>
      <w:bookmarkStart w:id="120" w:name="_Toc198225006"/>
      <w:r w:rsidRPr="00D525A4">
        <w:rPr>
          <w:rStyle w:val="CharSectno"/>
        </w:rPr>
        <w:t>5</w:t>
      </w:r>
      <w:r w:rsidR="00D525A4">
        <w:rPr>
          <w:rStyle w:val="CharSectno"/>
        </w:rPr>
        <w:noBreakHyphen/>
      </w:r>
      <w:r w:rsidRPr="00D525A4">
        <w:rPr>
          <w:rStyle w:val="CharSectno"/>
        </w:rPr>
        <w:t>17</w:t>
      </w:r>
      <w:r w:rsidR="000F52AC" w:rsidRPr="00D525A4">
        <w:t xml:space="preserve">  </w:t>
      </w:r>
      <w:r w:rsidR="000002BC" w:rsidRPr="00D525A4">
        <w:t>I</w:t>
      </w:r>
      <w:r w:rsidR="000F52AC" w:rsidRPr="00D525A4">
        <w:t>nitial customer due diligence—</w:t>
      </w:r>
      <w:r w:rsidR="0086760F" w:rsidRPr="00D525A4">
        <w:t>individual</w:t>
      </w:r>
      <w:r w:rsidR="000F52AC" w:rsidRPr="00D525A4">
        <w:t xml:space="preserve"> cannot provide satisfactory evidence</w:t>
      </w:r>
      <w:bookmarkEnd w:id="120"/>
    </w:p>
    <w:p w14:paraId="26A6855A" w14:textId="78388E60" w:rsidR="000F52AC" w:rsidRPr="00D525A4" w:rsidRDefault="000F52AC" w:rsidP="000F52AC">
      <w:pPr>
        <w:pStyle w:val="subsection"/>
      </w:pPr>
      <w:r w:rsidRPr="00D525A4">
        <w:tab/>
      </w:r>
      <w:r w:rsidRPr="00D525A4">
        <w:tab/>
        <w:t xml:space="preserve">For the purposes of </w:t>
      </w:r>
      <w:r w:rsidR="009F59ED" w:rsidRPr="00D525A4">
        <w:t>paragraph 2</w:t>
      </w:r>
      <w:r w:rsidRPr="00D525A4">
        <w:t xml:space="preserve">8(6)(b) of the Act, a reporting entity is taken to have complied with a matter mentioned in </w:t>
      </w:r>
      <w:r w:rsidR="0010391B" w:rsidRPr="00D525A4">
        <w:t>subsection 2</w:t>
      </w:r>
      <w:r w:rsidRPr="00D525A4">
        <w:t>8(2) in relation to a</w:t>
      </w:r>
      <w:r w:rsidR="00AF5DD0" w:rsidRPr="00D525A4">
        <w:t xml:space="preserve"> person mentioned in that subsection if</w:t>
      </w:r>
      <w:r w:rsidRPr="00D525A4">
        <w:t>:</w:t>
      </w:r>
    </w:p>
    <w:p w14:paraId="5D56A19D" w14:textId="218CCF34" w:rsidR="000F52AC" w:rsidRPr="00D525A4" w:rsidRDefault="000F52AC" w:rsidP="000F52AC">
      <w:pPr>
        <w:pStyle w:val="paragraph"/>
      </w:pPr>
      <w:r w:rsidRPr="00D525A4">
        <w:tab/>
        <w:t>(a)</w:t>
      </w:r>
      <w:r w:rsidRPr="00D525A4">
        <w:tab/>
        <w:t xml:space="preserve">the </w:t>
      </w:r>
      <w:r w:rsidR="00AF5DD0" w:rsidRPr="00D525A4">
        <w:t>person</w:t>
      </w:r>
      <w:r w:rsidRPr="00D525A4">
        <w:t xml:space="preserve"> is an individual; and</w:t>
      </w:r>
    </w:p>
    <w:p w14:paraId="0549AD1F" w14:textId="06774E65" w:rsidR="001D19E2" w:rsidRPr="00D525A4" w:rsidRDefault="000F52AC" w:rsidP="000F52AC">
      <w:pPr>
        <w:pStyle w:val="paragraph"/>
      </w:pPr>
      <w:r w:rsidRPr="00D525A4">
        <w:tab/>
        <w:t>(b)</w:t>
      </w:r>
      <w:r w:rsidRPr="00D525A4">
        <w:tab/>
      </w:r>
      <w:r w:rsidR="0057082B" w:rsidRPr="00D525A4">
        <w:t xml:space="preserve">the </w:t>
      </w:r>
      <w:r w:rsidR="00AF5DD0" w:rsidRPr="00D525A4">
        <w:t>person</w:t>
      </w:r>
      <w:r w:rsidR="0057082B" w:rsidRPr="00D525A4">
        <w:t xml:space="preserve"> is unable to provide the information or evidence of identity necessary for the reporting entity to establish the matter because:</w:t>
      </w:r>
    </w:p>
    <w:p w14:paraId="129AC263" w14:textId="05756FD8" w:rsidR="0057082B" w:rsidRPr="00D525A4" w:rsidRDefault="0057082B" w:rsidP="0057082B">
      <w:pPr>
        <w:pStyle w:val="paragraphsub"/>
      </w:pPr>
      <w:r w:rsidRPr="00D525A4">
        <w:tab/>
        <w:t>(i)</w:t>
      </w:r>
      <w:r w:rsidRPr="00D525A4">
        <w:tab/>
        <w:t>the</w:t>
      </w:r>
      <w:r w:rsidR="00AF5DD0" w:rsidRPr="00D525A4">
        <w:t xml:space="preserve"> person </w:t>
      </w:r>
      <w:r w:rsidRPr="00D525A4">
        <w:t>is unable to obtain the information or evidence; or</w:t>
      </w:r>
    </w:p>
    <w:p w14:paraId="21DF960E" w14:textId="6402CBAA" w:rsidR="0057082B" w:rsidRPr="00D525A4" w:rsidRDefault="0057082B" w:rsidP="0057082B">
      <w:pPr>
        <w:pStyle w:val="paragraphsub"/>
      </w:pPr>
      <w:r w:rsidRPr="00D525A4">
        <w:tab/>
        <w:t>(ii)</w:t>
      </w:r>
      <w:r w:rsidRPr="00D525A4">
        <w:tab/>
        <w:t xml:space="preserve">the </w:t>
      </w:r>
      <w:r w:rsidR="00AF5DD0" w:rsidRPr="00D525A4">
        <w:t>person</w:t>
      </w:r>
      <w:r w:rsidRPr="00D525A4">
        <w:t xml:space="preserve"> is unable to access the information or evidence due to circumstances beyond the </w:t>
      </w:r>
      <w:r w:rsidR="00D06C5C" w:rsidRPr="00D525A4">
        <w:t>person</w:t>
      </w:r>
      <w:r w:rsidRPr="00D525A4">
        <w:t>’s control; and</w:t>
      </w:r>
    </w:p>
    <w:p w14:paraId="652E7A20" w14:textId="7A61D2EE" w:rsidR="00992F6D" w:rsidRPr="00D525A4" w:rsidRDefault="000F52AC" w:rsidP="000F52AC">
      <w:pPr>
        <w:pStyle w:val="paragraph"/>
      </w:pPr>
      <w:r w:rsidRPr="00D525A4">
        <w:tab/>
        <w:t>(c)</w:t>
      </w:r>
      <w:r w:rsidRPr="00D525A4">
        <w:tab/>
        <w:t xml:space="preserve">the reporting entity has </w:t>
      </w:r>
      <w:r w:rsidR="00992F6D" w:rsidRPr="00D525A4">
        <w:t>taken reasonable steps to establish that the person is who the person claims to be; and</w:t>
      </w:r>
    </w:p>
    <w:p w14:paraId="5BCE3C45" w14:textId="2836499E" w:rsidR="00992F6D" w:rsidRPr="00D525A4" w:rsidRDefault="00992F6D" w:rsidP="000F52AC">
      <w:pPr>
        <w:pStyle w:val="paragraph"/>
      </w:pPr>
      <w:r w:rsidRPr="00D525A4">
        <w:tab/>
        <w:t>(d)</w:t>
      </w:r>
      <w:r w:rsidRPr="00D525A4">
        <w:tab/>
        <w:t>if the person is the customer—the reporting entity has done all of the following:</w:t>
      </w:r>
    </w:p>
    <w:p w14:paraId="3378BE65" w14:textId="24B314FE" w:rsidR="000F52AC" w:rsidRPr="00D525A4" w:rsidRDefault="000F52AC" w:rsidP="00992F6D">
      <w:pPr>
        <w:pStyle w:val="paragraphsub"/>
      </w:pPr>
      <w:r w:rsidRPr="00D525A4">
        <w:tab/>
        <w:t>(i)</w:t>
      </w:r>
      <w:r w:rsidRPr="00D525A4">
        <w:tab/>
        <w:t>identified the ML/TF risk of the customer, based on KYC information about the customer that is reasonably available to the reporting entity before commencing to provide the designated service;</w:t>
      </w:r>
    </w:p>
    <w:p w14:paraId="3A2D053B" w14:textId="6B5D1A4C" w:rsidR="000F52AC" w:rsidRPr="00D525A4" w:rsidRDefault="000F52AC" w:rsidP="00992F6D">
      <w:pPr>
        <w:pStyle w:val="paragraphsub"/>
      </w:pPr>
      <w:r w:rsidRPr="00D525A4">
        <w:tab/>
        <w:t>(ii)</w:t>
      </w:r>
      <w:r w:rsidRPr="00D525A4">
        <w:tab/>
        <w:t>collected KYC information about the customer that is appropriate to the ML/TF risk of the customer;</w:t>
      </w:r>
    </w:p>
    <w:p w14:paraId="6C2E686C" w14:textId="24958A1F" w:rsidR="000F52AC" w:rsidRPr="00D525A4" w:rsidRDefault="000F52AC" w:rsidP="00992F6D">
      <w:pPr>
        <w:pStyle w:val="paragraphsub"/>
      </w:pPr>
      <w:r w:rsidRPr="00D525A4">
        <w:tab/>
        <w:t>(i</w:t>
      </w:r>
      <w:r w:rsidR="00992F6D" w:rsidRPr="00D525A4">
        <w:t>ii</w:t>
      </w:r>
      <w:r w:rsidRPr="00D525A4">
        <w:t>)</w:t>
      </w:r>
      <w:r w:rsidRPr="00D525A4">
        <w:tab/>
        <w:t xml:space="preserve">taken reasonable steps to verify, using data reasonably available to the reporting entity, such of the KYC information referred to in </w:t>
      </w:r>
      <w:r w:rsidR="0013261E" w:rsidRPr="00D525A4">
        <w:t>sub</w:t>
      </w:r>
      <w:r w:rsidR="009F59ED" w:rsidRPr="00D525A4">
        <w:t>paragraph (</w:t>
      </w:r>
      <w:r w:rsidRPr="00D525A4">
        <w:t>ii) as is appropriate to the ML/TF risk of the customer; and</w:t>
      </w:r>
    </w:p>
    <w:p w14:paraId="2D083D11" w14:textId="37AD97F9" w:rsidR="00D06C5C" w:rsidRPr="00D525A4" w:rsidRDefault="000F52AC" w:rsidP="00A34E11">
      <w:pPr>
        <w:pStyle w:val="paragraph"/>
      </w:pPr>
      <w:r w:rsidRPr="00D525A4">
        <w:tab/>
        <w:t>(</w:t>
      </w:r>
      <w:r w:rsidR="00A34E11" w:rsidRPr="00D525A4">
        <w:t>e</w:t>
      </w:r>
      <w:r w:rsidRPr="00D525A4">
        <w:t>)</w:t>
      </w:r>
      <w:r w:rsidRPr="00D525A4">
        <w:tab/>
        <w:t xml:space="preserve">the reporting entity has </w:t>
      </w:r>
      <w:r w:rsidR="001C2BFE" w:rsidRPr="00D525A4">
        <w:t>AML/CTF policies</w:t>
      </w:r>
      <w:r w:rsidRPr="00D525A4">
        <w:t xml:space="preserve"> to mitigate and manage any additional ML/TF risk arising from the lack of the information or evidence.</w:t>
      </w:r>
    </w:p>
    <w:p w14:paraId="63C14495" w14:textId="012F550B" w:rsidR="00A34A0D" w:rsidRPr="00D525A4" w:rsidRDefault="00EC097E" w:rsidP="00A34A0D">
      <w:pPr>
        <w:pStyle w:val="ActHead5"/>
      </w:pPr>
      <w:bookmarkStart w:id="121" w:name="_Toc198225007"/>
      <w:r w:rsidRPr="00D525A4">
        <w:rPr>
          <w:rStyle w:val="CharSectno"/>
        </w:rPr>
        <w:lastRenderedPageBreak/>
        <w:t>5</w:t>
      </w:r>
      <w:r w:rsidR="00D525A4">
        <w:rPr>
          <w:rStyle w:val="CharSectno"/>
        </w:rPr>
        <w:noBreakHyphen/>
      </w:r>
      <w:r w:rsidRPr="00D525A4">
        <w:rPr>
          <w:rStyle w:val="CharSectno"/>
        </w:rPr>
        <w:t>18</w:t>
      </w:r>
      <w:r w:rsidR="00A34A0D" w:rsidRPr="00D525A4">
        <w:t xml:space="preserve">  Initial customer due diligence—transferred customer</w:t>
      </w:r>
      <w:bookmarkEnd w:id="121"/>
    </w:p>
    <w:p w14:paraId="4E8AB929" w14:textId="18D329F8" w:rsidR="0064572A" w:rsidRPr="00D525A4" w:rsidRDefault="00A34A0D" w:rsidP="00A34A0D">
      <w:pPr>
        <w:pStyle w:val="subsection"/>
      </w:pPr>
      <w:r w:rsidRPr="00D525A4">
        <w:tab/>
      </w:r>
      <w:r w:rsidRPr="00D525A4">
        <w:tab/>
        <w:t xml:space="preserve">For the purposes of </w:t>
      </w:r>
      <w:r w:rsidR="009F59ED" w:rsidRPr="00D525A4">
        <w:t>paragraph 2</w:t>
      </w:r>
      <w:r w:rsidRPr="00D525A4">
        <w:t xml:space="preserve">8(6)(b) of the Act, a reporting entity is taken to have complied with each of the matters mentioned in </w:t>
      </w:r>
      <w:r w:rsidR="0010391B" w:rsidRPr="00D525A4">
        <w:t>subsection 2</w:t>
      </w:r>
      <w:r w:rsidRPr="00D525A4">
        <w:t>8(2) in relation to a customer</w:t>
      </w:r>
      <w:r w:rsidR="0064572A" w:rsidRPr="00D525A4">
        <w:t xml:space="preserve"> if:</w:t>
      </w:r>
    </w:p>
    <w:p w14:paraId="08E7306D" w14:textId="377C34E5" w:rsidR="0064572A" w:rsidRPr="00D525A4" w:rsidRDefault="0064572A" w:rsidP="0064572A">
      <w:pPr>
        <w:pStyle w:val="paragraph"/>
      </w:pPr>
      <w:r w:rsidRPr="00D525A4">
        <w:tab/>
        <w:t>(a)</w:t>
      </w:r>
      <w:r w:rsidRPr="00D525A4">
        <w:tab/>
        <w:t>the customer became a customer of the reporting entity as a result of any of the following events occurring:</w:t>
      </w:r>
    </w:p>
    <w:p w14:paraId="28398164" w14:textId="77777777" w:rsidR="0064572A" w:rsidRPr="00D525A4" w:rsidRDefault="0064572A" w:rsidP="0064572A">
      <w:pPr>
        <w:pStyle w:val="paragraphsub"/>
      </w:pPr>
      <w:r w:rsidRPr="00D525A4">
        <w:tab/>
        <w:t>(i)</w:t>
      </w:r>
      <w:r w:rsidRPr="00D525A4">
        <w:tab/>
        <w:t xml:space="preserve">another reporting entity (the </w:t>
      </w:r>
      <w:r w:rsidRPr="00D525A4">
        <w:rPr>
          <w:b/>
          <w:bCs/>
          <w:i/>
          <w:iCs/>
        </w:rPr>
        <w:t>prior entity</w:t>
      </w:r>
      <w:r w:rsidRPr="00D525A4">
        <w:t>) has assigned, conveyed, sold or transferred the whole or a part of its business to the reporting entity;</w:t>
      </w:r>
    </w:p>
    <w:p w14:paraId="4125B138" w14:textId="59B30EC4" w:rsidR="0064572A" w:rsidRPr="00D525A4" w:rsidRDefault="0064572A" w:rsidP="0064572A">
      <w:pPr>
        <w:pStyle w:val="paragraphsub"/>
      </w:pPr>
      <w:r w:rsidRPr="00D525A4">
        <w:tab/>
        <w:t>(ii)</w:t>
      </w:r>
      <w:r w:rsidRPr="00D525A4">
        <w:tab/>
        <w:t xml:space="preserve">all or part of the assets and liabilities of another reporting entity (the </w:t>
      </w:r>
      <w:r w:rsidRPr="00D525A4">
        <w:rPr>
          <w:b/>
          <w:bCs/>
          <w:i/>
          <w:iCs/>
        </w:rPr>
        <w:t>prior entity</w:t>
      </w:r>
      <w:r w:rsidRPr="00D525A4">
        <w:t xml:space="preserve">) have become the assets and liabilities of the reporting entity as a result of a voluntary transfer that has taken effect under </w:t>
      </w:r>
      <w:r w:rsidR="0010391B" w:rsidRPr="00D525A4">
        <w:t>Part 3</w:t>
      </w:r>
      <w:r w:rsidRPr="00D525A4">
        <w:t xml:space="preserve"> of the </w:t>
      </w:r>
      <w:r w:rsidRPr="00D525A4">
        <w:rPr>
          <w:i/>
          <w:iCs/>
        </w:rPr>
        <w:t>Financial Sector (Transfer and Restructure) Act 1999</w:t>
      </w:r>
      <w:r w:rsidRPr="00D525A4">
        <w:t>;</w:t>
      </w:r>
    </w:p>
    <w:p w14:paraId="5E0C8DA7" w14:textId="77777777" w:rsidR="0064572A" w:rsidRPr="00D525A4" w:rsidRDefault="0064572A" w:rsidP="0064572A">
      <w:pPr>
        <w:pStyle w:val="paragraphsub"/>
      </w:pPr>
      <w:r w:rsidRPr="00D525A4">
        <w:tab/>
        <w:t>(iii)</w:t>
      </w:r>
      <w:r w:rsidRPr="00D525A4">
        <w:tab/>
        <w:t xml:space="preserve">all or part of the assets and liabilities of another reporting entity (the </w:t>
      </w:r>
      <w:r w:rsidRPr="00D525A4">
        <w:rPr>
          <w:b/>
          <w:bCs/>
          <w:i/>
          <w:iCs/>
        </w:rPr>
        <w:t>prior entity</w:t>
      </w:r>
      <w:r w:rsidRPr="00D525A4">
        <w:t>) have become the assets and liabilities of the reporting entity as a result of a compulsory transfer that has taken effect under an Act; and</w:t>
      </w:r>
    </w:p>
    <w:p w14:paraId="65708501" w14:textId="124556BE" w:rsidR="0064572A" w:rsidRPr="00D525A4" w:rsidRDefault="0064572A" w:rsidP="0064572A">
      <w:pPr>
        <w:pStyle w:val="paragraph"/>
      </w:pPr>
      <w:r w:rsidRPr="00D525A4">
        <w:tab/>
        <w:t>(b)</w:t>
      </w:r>
      <w:r w:rsidRPr="00D525A4">
        <w:tab/>
        <w:t xml:space="preserve">the reporting entity has obtained copies of the records that the prior entity kept under </w:t>
      </w:r>
      <w:r w:rsidR="0010391B" w:rsidRPr="00D525A4">
        <w:t>sections 1</w:t>
      </w:r>
      <w:r w:rsidRPr="00D525A4">
        <w:t>07</w:t>
      </w:r>
      <w:r w:rsidR="00533617" w:rsidRPr="00D525A4">
        <w:t>,</w:t>
      </w:r>
      <w:r w:rsidRPr="00D525A4">
        <w:t xml:space="preserve"> 108</w:t>
      </w:r>
      <w:r w:rsidR="00533617" w:rsidRPr="00D525A4">
        <w:t>, 111 and 114</w:t>
      </w:r>
      <w:r w:rsidRPr="00D525A4">
        <w:t xml:space="preserve"> of the Act in relation to the customer.</w:t>
      </w:r>
    </w:p>
    <w:p w14:paraId="637CC45C" w14:textId="7C9FEC88" w:rsidR="00A34A0D" w:rsidRPr="00D525A4" w:rsidRDefault="00A34A0D" w:rsidP="0064572A">
      <w:pPr>
        <w:pStyle w:val="notetext"/>
      </w:pPr>
      <w:r w:rsidRPr="00D525A4">
        <w:t>Note:</w:t>
      </w:r>
      <w:r w:rsidRPr="00D525A4">
        <w:tab/>
        <w:t xml:space="preserve">This section relates to initial customer due diligence under </w:t>
      </w:r>
      <w:r w:rsidR="0010391B" w:rsidRPr="00D525A4">
        <w:t>section 2</w:t>
      </w:r>
      <w:r w:rsidRPr="00D525A4">
        <w:t xml:space="preserve">8 of the Act. The reporting entity is also required to undertake ongoing customer due diligence under </w:t>
      </w:r>
      <w:r w:rsidR="0013261E" w:rsidRPr="00D525A4">
        <w:t>section 3</w:t>
      </w:r>
      <w:r w:rsidRPr="00D525A4">
        <w:t>0 of the Act.</w:t>
      </w:r>
    </w:p>
    <w:p w14:paraId="6020FA2C" w14:textId="329CD13C" w:rsidR="00A34A0D" w:rsidRPr="00D525A4" w:rsidRDefault="00EC097E" w:rsidP="00A34A0D">
      <w:pPr>
        <w:pStyle w:val="ActHead5"/>
      </w:pPr>
      <w:bookmarkStart w:id="122" w:name="_Toc198225008"/>
      <w:r w:rsidRPr="00D525A4">
        <w:rPr>
          <w:rStyle w:val="CharSectno"/>
        </w:rPr>
        <w:t>5</w:t>
      </w:r>
      <w:r w:rsidR="00D525A4">
        <w:rPr>
          <w:rStyle w:val="CharSectno"/>
        </w:rPr>
        <w:noBreakHyphen/>
      </w:r>
      <w:r w:rsidRPr="00D525A4">
        <w:rPr>
          <w:rStyle w:val="CharSectno"/>
        </w:rPr>
        <w:t>19</w:t>
      </w:r>
      <w:r w:rsidR="00A34A0D" w:rsidRPr="00D525A4">
        <w:t xml:space="preserve">  Ongoing customer due diligence—transferred pre</w:t>
      </w:r>
      <w:r w:rsidR="00D525A4">
        <w:noBreakHyphen/>
      </w:r>
      <w:r w:rsidR="00A34A0D" w:rsidRPr="00D525A4">
        <w:t>commencement customer</w:t>
      </w:r>
      <w:bookmarkEnd w:id="122"/>
    </w:p>
    <w:p w14:paraId="6C2A4518" w14:textId="7B8AC244" w:rsidR="00A34A0D" w:rsidRPr="00D525A4" w:rsidRDefault="00A34A0D" w:rsidP="00A34A0D">
      <w:pPr>
        <w:pStyle w:val="subsection"/>
      </w:pPr>
      <w:r w:rsidRPr="00D525A4">
        <w:tab/>
        <w:t>(1)</w:t>
      </w:r>
      <w:r w:rsidRPr="00D525A4">
        <w:tab/>
        <w:t xml:space="preserve">For the purposes of </w:t>
      </w:r>
      <w:r w:rsidR="0013261E" w:rsidRPr="00D525A4">
        <w:t>paragraph 3</w:t>
      </w:r>
      <w:r w:rsidRPr="00D525A4">
        <w:t>0(3)(b) of the Act, a reporting entity is taken to comply with the matters mentioned in paragraphs 30(2)(b) and (c) of the Act in relation to a customer if:</w:t>
      </w:r>
    </w:p>
    <w:p w14:paraId="2CA9A521" w14:textId="77777777" w:rsidR="00A34A0D" w:rsidRPr="00D525A4" w:rsidRDefault="00A34A0D" w:rsidP="00A34A0D">
      <w:pPr>
        <w:pStyle w:val="paragraph"/>
      </w:pPr>
      <w:r w:rsidRPr="00D525A4">
        <w:tab/>
        <w:t>(a)</w:t>
      </w:r>
      <w:r w:rsidRPr="00D525A4">
        <w:tab/>
        <w:t>the customer became a customer of the reporting entity as a result of any of the following events occurring:</w:t>
      </w:r>
    </w:p>
    <w:p w14:paraId="03309CC3" w14:textId="77777777" w:rsidR="00A34A0D" w:rsidRPr="00D525A4" w:rsidRDefault="00A34A0D" w:rsidP="00A34A0D">
      <w:pPr>
        <w:pStyle w:val="paragraphsub"/>
      </w:pPr>
      <w:r w:rsidRPr="00D525A4">
        <w:tab/>
        <w:t>(i)</w:t>
      </w:r>
      <w:r w:rsidRPr="00D525A4">
        <w:tab/>
        <w:t xml:space="preserve">another reporting entity (the </w:t>
      </w:r>
      <w:r w:rsidRPr="00D525A4">
        <w:rPr>
          <w:b/>
          <w:bCs/>
          <w:i/>
          <w:iCs/>
        </w:rPr>
        <w:t>prior entity</w:t>
      </w:r>
      <w:r w:rsidRPr="00D525A4">
        <w:t>) has assigned, conveyed, sold or transferred the whole or a part of its business to the reporting entity;</w:t>
      </w:r>
    </w:p>
    <w:p w14:paraId="7AFA9A09" w14:textId="50063C50" w:rsidR="00A34A0D" w:rsidRPr="00D525A4" w:rsidRDefault="00A34A0D" w:rsidP="00A34A0D">
      <w:pPr>
        <w:pStyle w:val="paragraphsub"/>
      </w:pPr>
      <w:r w:rsidRPr="00D525A4">
        <w:tab/>
        <w:t>(ii)</w:t>
      </w:r>
      <w:r w:rsidRPr="00D525A4">
        <w:tab/>
        <w:t xml:space="preserve">all or part of the assets and liabilities of another reporting entity (the </w:t>
      </w:r>
      <w:r w:rsidRPr="00D525A4">
        <w:rPr>
          <w:b/>
          <w:bCs/>
          <w:i/>
          <w:iCs/>
        </w:rPr>
        <w:t>prior entity</w:t>
      </w:r>
      <w:r w:rsidRPr="00D525A4">
        <w:t xml:space="preserve">) have become the assets and liabilities of the reporting entity as a result of a voluntary transfer that has taken effect under </w:t>
      </w:r>
      <w:r w:rsidR="0010391B" w:rsidRPr="00D525A4">
        <w:t>Part 3</w:t>
      </w:r>
      <w:r w:rsidRPr="00D525A4">
        <w:t xml:space="preserve"> of the </w:t>
      </w:r>
      <w:r w:rsidRPr="00D525A4">
        <w:rPr>
          <w:i/>
          <w:iCs/>
        </w:rPr>
        <w:t>Financial Sector (Transfer and Restructure) Act 1999</w:t>
      </w:r>
      <w:r w:rsidRPr="00D525A4">
        <w:t>;</w:t>
      </w:r>
    </w:p>
    <w:p w14:paraId="7AF44A1F" w14:textId="77777777" w:rsidR="00A34A0D" w:rsidRPr="00D525A4" w:rsidRDefault="00A34A0D" w:rsidP="00A34A0D">
      <w:pPr>
        <w:pStyle w:val="paragraphsub"/>
      </w:pPr>
      <w:r w:rsidRPr="00D525A4">
        <w:tab/>
        <w:t>(iii)</w:t>
      </w:r>
      <w:r w:rsidRPr="00D525A4">
        <w:tab/>
        <w:t xml:space="preserve">all or part of the assets and liabilities of another reporting entity (the </w:t>
      </w:r>
      <w:r w:rsidRPr="00D525A4">
        <w:rPr>
          <w:b/>
          <w:bCs/>
          <w:i/>
          <w:iCs/>
        </w:rPr>
        <w:t>prior entity</w:t>
      </w:r>
      <w:r w:rsidRPr="00D525A4">
        <w:t>) have become the assets and liabilities of the reporting entity as a result of a compulsory transfer that has taken effect under an Act; and</w:t>
      </w:r>
    </w:p>
    <w:p w14:paraId="08CC8BF7" w14:textId="2F5B2A90" w:rsidR="00A34A0D" w:rsidRPr="00D525A4" w:rsidRDefault="00A34A0D" w:rsidP="00A34A0D">
      <w:pPr>
        <w:pStyle w:val="paragraph"/>
      </w:pPr>
      <w:r w:rsidRPr="00D525A4">
        <w:tab/>
        <w:t>(b)</w:t>
      </w:r>
      <w:r w:rsidRPr="00D525A4">
        <w:tab/>
        <w:t>immediately before that event, the customer was a pre</w:t>
      </w:r>
      <w:r w:rsidR="00D525A4">
        <w:noBreakHyphen/>
      </w:r>
      <w:r w:rsidRPr="00D525A4">
        <w:t>commencement customer of the prior entity; and</w:t>
      </w:r>
    </w:p>
    <w:p w14:paraId="44FE5192" w14:textId="4A600D17" w:rsidR="0064572A" w:rsidRPr="00D525A4" w:rsidRDefault="0064572A" w:rsidP="00A34A0D">
      <w:pPr>
        <w:pStyle w:val="paragraph"/>
      </w:pPr>
      <w:r w:rsidRPr="00D525A4">
        <w:tab/>
        <w:t>(c)</w:t>
      </w:r>
      <w:r w:rsidRPr="00D525A4">
        <w:tab/>
        <w:t xml:space="preserve">the reporting entity has obtained copies of the records that the prior entity kept under </w:t>
      </w:r>
      <w:r w:rsidR="0010391B" w:rsidRPr="00D525A4">
        <w:t>sections 1</w:t>
      </w:r>
      <w:r w:rsidR="00EA7626" w:rsidRPr="00D525A4">
        <w:t>07, 108, 111 and 114</w:t>
      </w:r>
      <w:r w:rsidRPr="00D525A4">
        <w:t xml:space="preserve"> of the Act in relation to the customer; and</w:t>
      </w:r>
    </w:p>
    <w:p w14:paraId="2A222A38" w14:textId="3C986858" w:rsidR="00A34A0D" w:rsidRPr="00D525A4" w:rsidRDefault="00A34A0D" w:rsidP="00A34A0D">
      <w:pPr>
        <w:pStyle w:val="paragraph"/>
      </w:pPr>
      <w:r w:rsidRPr="00D525A4">
        <w:lastRenderedPageBreak/>
        <w:tab/>
        <w:t>(</w:t>
      </w:r>
      <w:r w:rsidR="00806A58" w:rsidRPr="00D525A4">
        <w:t>d</w:t>
      </w:r>
      <w:r w:rsidRPr="00D525A4">
        <w:t>)</w:t>
      </w:r>
      <w:r w:rsidRPr="00D525A4">
        <w:tab/>
        <w:t>the reporting entity monitors for significant changes in the nature and purpose of the reporting entity’s business relationship with the customer that may result in the ML/TF risk of the customer being medium or high.</w:t>
      </w:r>
    </w:p>
    <w:p w14:paraId="7BBA759D" w14:textId="63FFBED1" w:rsidR="00A34A0D" w:rsidRPr="00D525A4" w:rsidRDefault="00A34A0D" w:rsidP="00A34A0D">
      <w:pPr>
        <w:pStyle w:val="subsection"/>
      </w:pPr>
      <w:r w:rsidRPr="00D525A4">
        <w:tab/>
        <w:t>(2)</w:t>
      </w:r>
      <w:r w:rsidRPr="00D525A4">
        <w:tab/>
        <w:t xml:space="preserve">However, </w:t>
      </w:r>
      <w:r w:rsidR="009F59ED" w:rsidRPr="00D525A4">
        <w:t>subsection (</w:t>
      </w:r>
      <w:r w:rsidRPr="00D525A4">
        <w:t>1) ceases to apply in relation to the customer if:</w:t>
      </w:r>
    </w:p>
    <w:p w14:paraId="3B3F0EFB" w14:textId="77777777" w:rsidR="00A34A0D" w:rsidRPr="00D525A4" w:rsidRDefault="00A34A0D" w:rsidP="00A34A0D">
      <w:pPr>
        <w:pStyle w:val="paragraph"/>
      </w:pPr>
      <w:r w:rsidRPr="00D525A4">
        <w:tab/>
        <w:t>(a)</w:t>
      </w:r>
      <w:r w:rsidRPr="00D525A4">
        <w:tab/>
        <w:t>a suspicious matter reporting obligation arises for the reporting entity in relation the customer; or</w:t>
      </w:r>
    </w:p>
    <w:p w14:paraId="7D2E9244" w14:textId="77777777" w:rsidR="00A34A0D" w:rsidRPr="00D525A4" w:rsidRDefault="00A34A0D" w:rsidP="00A34A0D">
      <w:pPr>
        <w:pStyle w:val="paragraph"/>
      </w:pPr>
      <w:r w:rsidRPr="00D525A4">
        <w:tab/>
        <w:t>(b)</w:t>
      </w:r>
      <w:r w:rsidRPr="00D525A4">
        <w:tab/>
        <w:t>there is a significant change in the nature and purpose of the business relationship with the customer which results in the ML/TF risk of the customer being medium or high.</w:t>
      </w:r>
    </w:p>
    <w:p w14:paraId="0FDBCFA2" w14:textId="7897CBDB" w:rsidR="000F52AC" w:rsidRPr="00D525A4" w:rsidRDefault="00EC097E" w:rsidP="000F52AC">
      <w:pPr>
        <w:pStyle w:val="ActHead5"/>
      </w:pPr>
      <w:bookmarkStart w:id="123" w:name="_Toc198225009"/>
      <w:r w:rsidRPr="00D525A4">
        <w:rPr>
          <w:rStyle w:val="CharSectno"/>
        </w:rPr>
        <w:t>5</w:t>
      </w:r>
      <w:r w:rsidR="00D525A4">
        <w:rPr>
          <w:rStyle w:val="CharSectno"/>
        </w:rPr>
        <w:noBreakHyphen/>
      </w:r>
      <w:r w:rsidRPr="00D525A4">
        <w:rPr>
          <w:rStyle w:val="CharSectno"/>
        </w:rPr>
        <w:t>20</w:t>
      </w:r>
      <w:r w:rsidR="000F52AC" w:rsidRPr="00D525A4">
        <w:t xml:space="preserve">  </w:t>
      </w:r>
      <w:r w:rsidR="000002BC" w:rsidRPr="00D525A4">
        <w:t>O</w:t>
      </w:r>
      <w:r w:rsidR="000F52AC" w:rsidRPr="00D525A4">
        <w:t>ngoing customer due diligence—monitoring of transactions and behaviours</w:t>
      </w:r>
      <w:bookmarkEnd w:id="123"/>
    </w:p>
    <w:p w14:paraId="7EB940E1" w14:textId="0B166B0C" w:rsidR="000F52AC" w:rsidRPr="00D525A4" w:rsidRDefault="000F52AC" w:rsidP="000F52AC">
      <w:pPr>
        <w:pStyle w:val="subsection"/>
      </w:pPr>
      <w:r w:rsidRPr="00D525A4">
        <w:tab/>
      </w:r>
      <w:r w:rsidRPr="00D525A4">
        <w:tab/>
        <w:t xml:space="preserve">For the purposes of </w:t>
      </w:r>
      <w:r w:rsidR="0013261E" w:rsidRPr="00D525A4">
        <w:t>paragraph 3</w:t>
      </w:r>
      <w:r w:rsidRPr="00D525A4">
        <w:t xml:space="preserve">0(3)(b) of the Act, a reporting entity is taken to comply with </w:t>
      </w:r>
      <w:r w:rsidR="00D31B8D" w:rsidRPr="00D525A4">
        <w:t>the matter mentioned</w:t>
      </w:r>
      <w:r w:rsidRPr="00D525A4">
        <w:t xml:space="preserve"> in </w:t>
      </w:r>
      <w:r w:rsidR="0013261E" w:rsidRPr="00D525A4">
        <w:t>paragraph 3</w:t>
      </w:r>
      <w:r w:rsidRPr="00D525A4">
        <w:t>0(2)(a) of the Act, if:</w:t>
      </w:r>
    </w:p>
    <w:p w14:paraId="23FAFF6F" w14:textId="0587A8B4" w:rsidR="000F52AC" w:rsidRPr="00D525A4" w:rsidRDefault="000F52AC" w:rsidP="000F52AC">
      <w:pPr>
        <w:pStyle w:val="paragraph"/>
      </w:pPr>
      <w:r w:rsidRPr="00D525A4">
        <w:tab/>
        <w:t>(a)</w:t>
      </w:r>
      <w:r w:rsidRPr="00D525A4">
        <w:tab/>
        <w:t xml:space="preserve">the reporting entity monitors </w:t>
      </w:r>
      <w:r w:rsidR="003504E9" w:rsidRPr="00D525A4">
        <w:t xml:space="preserve">its customers in relation to the provision of its designated services </w:t>
      </w:r>
      <w:r w:rsidRPr="00D525A4">
        <w:t xml:space="preserve">for unusual transactions and behaviours that may give rise to a suspicious reporting obligation because of the operation of paragraphs 41(1)(d) to (j) of the Act other than </w:t>
      </w:r>
      <w:r w:rsidR="00FE1FDA" w:rsidRPr="00D525A4">
        <w:t>sub</w:t>
      </w:r>
      <w:r w:rsidR="005C5E95" w:rsidRPr="00D525A4">
        <w:t>paragraph 4</w:t>
      </w:r>
      <w:r w:rsidRPr="00D525A4">
        <w:t>1(1)(f)(iii); and</w:t>
      </w:r>
    </w:p>
    <w:p w14:paraId="6F261D5D" w14:textId="3581B99A" w:rsidR="000F52AC" w:rsidRPr="00D525A4" w:rsidRDefault="000F52AC" w:rsidP="000F52AC">
      <w:pPr>
        <w:pStyle w:val="paragraph"/>
      </w:pPr>
      <w:r w:rsidRPr="00D525A4">
        <w:tab/>
        <w:t>(b)</w:t>
      </w:r>
      <w:r w:rsidRPr="00D525A4">
        <w:tab/>
        <w:t xml:space="preserve">the reporting entity monitors </w:t>
      </w:r>
      <w:r w:rsidR="003504E9" w:rsidRPr="00D525A4">
        <w:t xml:space="preserve">its customers in relation to the provision of its designated services </w:t>
      </w:r>
      <w:r w:rsidRPr="00D525A4">
        <w:t xml:space="preserve">for unusual transactions and behaviours that may give rise to a suspicious reporting obligation because of the operation of </w:t>
      </w:r>
      <w:r w:rsidR="00FE1FDA" w:rsidRPr="00D525A4">
        <w:t>sub</w:t>
      </w:r>
      <w:r w:rsidR="005C5E95" w:rsidRPr="00D525A4">
        <w:t>paragraph 4</w:t>
      </w:r>
      <w:r w:rsidRPr="00D525A4">
        <w:t>1(1)(f)(iii) of the Act in relation to an offence against a law of the Commonwealth or of a State or Territory of any of the following kinds:</w:t>
      </w:r>
    </w:p>
    <w:p w14:paraId="21E4816A" w14:textId="43E042A9" w:rsidR="001C78F9" w:rsidRPr="00D525A4" w:rsidRDefault="000F52AC" w:rsidP="000F52AC">
      <w:pPr>
        <w:pStyle w:val="paragraphsub"/>
      </w:pPr>
      <w:r w:rsidRPr="00D525A4">
        <w:tab/>
        <w:t>(i)</w:t>
      </w:r>
      <w:r w:rsidRPr="00D525A4">
        <w:tab/>
      </w:r>
      <w:r w:rsidR="001C78F9" w:rsidRPr="00D525A4">
        <w:t>money laundering;</w:t>
      </w:r>
    </w:p>
    <w:p w14:paraId="3DAAF2DC" w14:textId="11A6BB24" w:rsidR="001C78F9" w:rsidRPr="00D525A4" w:rsidRDefault="001C78F9" w:rsidP="000F52AC">
      <w:pPr>
        <w:pStyle w:val="paragraphsub"/>
      </w:pPr>
      <w:r w:rsidRPr="00D525A4">
        <w:tab/>
        <w:t>(ii)</w:t>
      </w:r>
      <w:r w:rsidRPr="00D525A4">
        <w:tab/>
        <w:t>financing of terrorism;</w:t>
      </w:r>
    </w:p>
    <w:p w14:paraId="24416309" w14:textId="63BA65B2" w:rsidR="000F52AC" w:rsidRPr="00D525A4" w:rsidRDefault="001C78F9" w:rsidP="000F52AC">
      <w:pPr>
        <w:pStyle w:val="paragraphsub"/>
      </w:pPr>
      <w:r w:rsidRPr="00D525A4">
        <w:tab/>
        <w:t>(iii)</w:t>
      </w:r>
      <w:r w:rsidRPr="00D525A4">
        <w:tab/>
      </w:r>
      <w:r w:rsidR="000F52AC" w:rsidRPr="00D525A4">
        <w:t>proliferation financing</w:t>
      </w:r>
      <w:r w:rsidR="00C35AC3" w:rsidRPr="00D525A4">
        <w:t xml:space="preserve"> and other offences relating to the breach of sanctions</w:t>
      </w:r>
      <w:r w:rsidR="000F52AC" w:rsidRPr="00D525A4">
        <w:t>;</w:t>
      </w:r>
    </w:p>
    <w:p w14:paraId="7B81199F" w14:textId="767248F6" w:rsidR="000F52AC" w:rsidRPr="00D525A4" w:rsidRDefault="000F52AC" w:rsidP="000F52AC">
      <w:pPr>
        <w:pStyle w:val="paragraphsub"/>
      </w:pPr>
      <w:r w:rsidRPr="00D525A4">
        <w:tab/>
        <w:t>(i</w:t>
      </w:r>
      <w:r w:rsidR="001C78F9" w:rsidRPr="00D525A4">
        <w:t>v</w:t>
      </w:r>
      <w:r w:rsidRPr="00D525A4">
        <w:t>)</w:t>
      </w:r>
      <w:r w:rsidRPr="00D525A4">
        <w:tab/>
        <w:t>participation in organised crime or racketeering;</w:t>
      </w:r>
    </w:p>
    <w:p w14:paraId="22C0E24C" w14:textId="081C5202" w:rsidR="000F52AC" w:rsidRPr="00D525A4" w:rsidRDefault="000F52AC" w:rsidP="000F52AC">
      <w:pPr>
        <w:pStyle w:val="paragraphsub"/>
      </w:pPr>
      <w:r w:rsidRPr="00D525A4">
        <w:tab/>
        <w:t>(</w:t>
      </w:r>
      <w:r w:rsidR="001C78F9" w:rsidRPr="00D525A4">
        <w:t>v</w:t>
      </w:r>
      <w:r w:rsidRPr="00D525A4">
        <w:t>)</w:t>
      </w:r>
      <w:r w:rsidRPr="00D525A4">
        <w:tab/>
        <w:t>terrorism;</w:t>
      </w:r>
    </w:p>
    <w:p w14:paraId="5CB64910" w14:textId="6B994BCD" w:rsidR="000F52AC" w:rsidRPr="00D525A4" w:rsidRDefault="000F52AC" w:rsidP="000F52AC">
      <w:pPr>
        <w:pStyle w:val="paragraphsub"/>
      </w:pPr>
      <w:r w:rsidRPr="00D525A4">
        <w:tab/>
        <w:t>(</w:t>
      </w:r>
      <w:r w:rsidR="001C78F9" w:rsidRPr="00D525A4">
        <w:t>vi</w:t>
      </w:r>
      <w:r w:rsidRPr="00D525A4">
        <w:t>)</w:t>
      </w:r>
      <w:r w:rsidRPr="00D525A4">
        <w:tab/>
        <w:t>human trafficking or people smuggling;</w:t>
      </w:r>
    </w:p>
    <w:p w14:paraId="581DC147" w14:textId="35784E31" w:rsidR="000F52AC" w:rsidRPr="00D525A4" w:rsidRDefault="000F52AC" w:rsidP="000F52AC">
      <w:pPr>
        <w:pStyle w:val="paragraphsub"/>
      </w:pPr>
      <w:r w:rsidRPr="00D525A4">
        <w:tab/>
        <w:t>(v</w:t>
      </w:r>
      <w:r w:rsidR="001C78F9" w:rsidRPr="00D525A4">
        <w:t>ii</w:t>
      </w:r>
      <w:r w:rsidRPr="00D525A4">
        <w:t>)</w:t>
      </w:r>
      <w:r w:rsidRPr="00D525A4">
        <w:tab/>
        <w:t>sexual exploitation (including exploitation of children);</w:t>
      </w:r>
    </w:p>
    <w:p w14:paraId="088CB22A" w14:textId="1150413D" w:rsidR="000F52AC" w:rsidRPr="00D525A4" w:rsidRDefault="000F52AC" w:rsidP="000F52AC">
      <w:pPr>
        <w:pStyle w:val="paragraphsub"/>
      </w:pPr>
      <w:r w:rsidRPr="00D525A4">
        <w:tab/>
        <w:t>(vi</w:t>
      </w:r>
      <w:r w:rsidR="001C78F9" w:rsidRPr="00D525A4">
        <w:t>ii</w:t>
      </w:r>
      <w:r w:rsidRPr="00D525A4">
        <w:t>)</w:t>
      </w:r>
      <w:r w:rsidRPr="00D525A4">
        <w:tab/>
        <w:t>trafficking of illicit substances;</w:t>
      </w:r>
    </w:p>
    <w:p w14:paraId="189BA1EB" w14:textId="7C34563D" w:rsidR="000F52AC" w:rsidRPr="00D525A4" w:rsidRDefault="000F52AC" w:rsidP="000F52AC">
      <w:pPr>
        <w:pStyle w:val="paragraphsub"/>
      </w:pPr>
      <w:r w:rsidRPr="00D525A4">
        <w:tab/>
        <w:t>(</w:t>
      </w:r>
      <w:r w:rsidR="001C78F9" w:rsidRPr="00D525A4">
        <w:t>ix</w:t>
      </w:r>
      <w:r w:rsidRPr="00D525A4">
        <w:t>)</w:t>
      </w:r>
      <w:r w:rsidRPr="00D525A4">
        <w:tab/>
        <w:t>arms trafficking;</w:t>
      </w:r>
    </w:p>
    <w:p w14:paraId="259F71BD" w14:textId="0DE1E275" w:rsidR="000F52AC" w:rsidRPr="00D525A4" w:rsidRDefault="000F52AC" w:rsidP="000F52AC">
      <w:pPr>
        <w:pStyle w:val="paragraphsub"/>
      </w:pPr>
      <w:r w:rsidRPr="00D525A4">
        <w:tab/>
        <w:t>(</w:t>
      </w:r>
      <w:r w:rsidR="001C78F9" w:rsidRPr="00D525A4">
        <w:t>x</w:t>
      </w:r>
      <w:r w:rsidRPr="00D525A4">
        <w:t>)</w:t>
      </w:r>
      <w:r w:rsidRPr="00D525A4">
        <w:tab/>
        <w:t>other goods trafficking (including stolen goods);</w:t>
      </w:r>
    </w:p>
    <w:p w14:paraId="70DB306E" w14:textId="02810CFE" w:rsidR="000F52AC" w:rsidRPr="00D525A4" w:rsidRDefault="000F52AC" w:rsidP="000F52AC">
      <w:pPr>
        <w:pStyle w:val="paragraphsub"/>
      </w:pPr>
      <w:r w:rsidRPr="00D525A4">
        <w:tab/>
        <w:t>(</w:t>
      </w:r>
      <w:r w:rsidR="001C78F9" w:rsidRPr="00D525A4">
        <w:t>xi</w:t>
      </w:r>
      <w:r w:rsidRPr="00D525A4">
        <w:t>)</w:t>
      </w:r>
      <w:r w:rsidRPr="00D525A4">
        <w:tab/>
        <w:t>corruption;</w:t>
      </w:r>
    </w:p>
    <w:p w14:paraId="23DDE4D3" w14:textId="32C11B96" w:rsidR="000F52AC" w:rsidRPr="00D525A4" w:rsidRDefault="000F52AC" w:rsidP="000F52AC">
      <w:pPr>
        <w:pStyle w:val="paragraphsub"/>
      </w:pPr>
      <w:r w:rsidRPr="00D525A4">
        <w:tab/>
        <w:t>(x</w:t>
      </w:r>
      <w:r w:rsidR="001C78F9" w:rsidRPr="00D525A4">
        <w:t>ii</w:t>
      </w:r>
      <w:r w:rsidRPr="00D525A4">
        <w:t>)</w:t>
      </w:r>
      <w:r w:rsidRPr="00D525A4">
        <w:tab/>
        <w:t>bribery;</w:t>
      </w:r>
    </w:p>
    <w:p w14:paraId="12A025AE" w14:textId="5BE082E8" w:rsidR="000F52AC" w:rsidRPr="00D525A4" w:rsidRDefault="000F52AC" w:rsidP="000F52AC">
      <w:pPr>
        <w:pStyle w:val="paragraphsub"/>
      </w:pPr>
      <w:r w:rsidRPr="00D525A4">
        <w:tab/>
        <w:t>(xi</w:t>
      </w:r>
      <w:r w:rsidR="001C78F9" w:rsidRPr="00D525A4">
        <w:t>ii</w:t>
      </w:r>
      <w:r w:rsidRPr="00D525A4">
        <w:t>)</w:t>
      </w:r>
      <w:r w:rsidRPr="00D525A4">
        <w:tab/>
        <w:t>counterfeiting currency;</w:t>
      </w:r>
    </w:p>
    <w:p w14:paraId="24D25270" w14:textId="43D5A2BD" w:rsidR="000F52AC" w:rsidRPr="00D525A4" w:rsidRDefault="000F52AC" w:rsidP="000F52AC">
      <w:pPr>
        <w:pStyle w:val="paragraphsub"/>
      </w:pPr>
      <w:r w:rsidRPr="00D525A4">
        <w:tab/>
        <w:t>(xi</w:t>
      </w:r>
      <w:r w:rsidR="001C78F9" w:rsidRPr="00D525A4">
        <w:t>v</w:t>
      </w:r>
      <w:r w:rsidRPr="00D525A4">
        <w:t>)</w:t>
      </w:r>
      <w:r w:rsidRPr="00D525A4">
        <w:tab/>
        <w:t>fraud (including scams);</w:t>
      </w:r>
    </w:p>
    <w:p w14:paraId="33B15E71" w14:textId="1109F5B7" w:rsidR="000F52AC" w:rsidRPr="00D525A4" w:rsidRDefault="000F52AC" w:rsidP="000F52AC">
      <w:pPr>
        <w:pStyle w:val="paragraphsub"/>
      </w:pPr>
      <w:r w:rsidRPr="00D525A4">
        <w:tab/>
        <w:t>(x</w:t>
      </w:r>
      <w:r w:rsidR="001C78F9" w:rsidRPr="00D525A4">
        <w:t>v</w:t>
      </w:r>
      <w:r w:rsidRPr="00D525A4">
        <w:t>)</w:t>
      </w:r>
      <w:r w:rsidRPr="00D525A4">
        <w:tab/>
        <w:t>counterfeiting or piracy of products;</w:t>
      </w:r>
    </w:p>
    <w:p w14:paraId="4DEA500C" w14:textId="208BEFAA" w:rsidR="001C78F9" w:rsidRPr="00D525A4" w:rsidRDefault="001C78F9" w:rsidP="000F52AC">
      <w:pPr>
        <w:pStyle w:val="paragraphsub"/>
      </w:pPr>
      <w:r w:rsidRPr="00D525A4">
        <w:tab/>
        <w:t>(xvi)</w:t>
      </w:r>
      <w:r w:rsidRPr="00D525A4">
        <w:tab/>
        <w:t>crimes relating to taxation;</w:t>
      </w:r>
    </w:p>
    <w:p w14:paraId="3680E107" w14:textId="24503783" w:rsidR="000F52AC" w:rsidRPr="00D525A4" w:rsidRDefault="000F52AC" w:rsidP="000F52AC">
      <w:pPr>
        <w:pStyle w:val="paragraphsub"/>
      </w:pPr>
      <w:r w:rsidRPr="00D525A4">
        <w:tab/>
        <w:t>(x</w:t>
      </w:r>
      <w:r w:rsidR="001C78F9" w:rsidRPr="00D525A4">
        <w:t>vii</w:t>
      </w:r>
      <w:r w:rsidRPr="00D525A4">
        <w:t>)</w:t>
      </w:r>
      <w:r w:rsidRPr="00D525A4">
        <w:tab/>
        <w:t>extortion;</w:t>
      </w:r>
    </w:p>
    <w:p w14:paraId="0945AA6E" w14:textId="5D7FBA56" w:rsidR="000F52AC" w:rsidRPr="00D525A4" w:rsidRDefault="000F52AC" w:rsidP="000F52AC">
      <w:pPr>
        <w:pStyle w:val="paragraphsub"/>
      </w:pPr>
      <w:r w:rsidRPr="00D525A4">
        <w:tab/>
        <w:t>(xv</w:t>
      </w:r>
      <w:r w:rsidR="001C78F9" w:rsidRPr="00D525A4">
        <w:t>iii</w:t>
      </w:r>
      <w:r w:rsidRPr="00D525A4">
        <w:t>)</w:t>
      </w:r>
      <w:r w:rsidRPr="00D525A4">
        <w:tab/>
        <w:t>forgery;</w:t>
      </w:r>
    </w:p>
    <w:p w14:paraId="50A7EC1E" w14:textId="7E43A8DE" w:rsidR="000F52AC" w:rsidRPr="00D525A4" w:rsidRDefault="000F52AC" w:rsidP="000F52AC">
      <w:pPr>
        <w:pStyle w:val="paragraphsub"/>
      </w:pPr>
      <w:r w:rsidRPr="00D525A4">
        <w:tab/>
        <w:t>(x</w:t>
      </w:r>
      <w:r w:rsidR="001C78F9" w:rsidRPr="00D525A4">
        <w:t>ix</w:t>
      </w:r>
      <w:r w:rsidRPr="00D525A4">
        <w:t>)</w:t>
      </w:r>
      <w:r w:rsidRPr="00D525A4">
        <w:tab/>
        <w:t>piracy;</w:t>
      </w:r>
    </w:p>
    <w:p w14:paraId="551A108A" w14:textId="21A35CEA" w:rsidR="000F52AC" w:rsidRPr="00D525A4" w:rsidRDefault="000F52AC" w:rsidP="000F52AC">
      <w:pPr>
        <w:pStyle w:val="paragraphsub"/>
      </w:pPr>
      <w:r w:rsidRPr="00D525A4">
        <w:lastRenderedPageBreak/>
        <w:tab/>
        <w:t>(x</w:t>
      </w:r>
      <w:r w:rsidR="001C78F9" w:rsidRPr="00D525A4">
        <w:t>x</w:t>
      </w:r>
      <w:r w:rsidRPr="00D525A4">
        <w:t>)</w:t>
      </w:r>
      <w:r w:rsidRPr="00D525A4">
        <w:tab/>
        <w:t>insider trading and market manipulation;</w:t>
      </w:r>
    </w:p>
    <w:p w14:paraId="63F96F93" w14:textId="4D36AEED" w:rsidR="000F52AC" w:rsidRPr="00D525A4" w:rsidRDefault="000F52AC" w:rsidP="000F52AC">
      <w:pPr>
        <w:pStyle w:val="paragraphsub"/>
      </w:pPr>
      <w:r w:rsidRPr="00D525A4">
        <w:tab/>
        <w:t>(x</w:t>
      </w:r>
      <w:r w:rsidR="001C78F9" w:rsidRPr="00D525A4">
        <w:t>xi</w:t>
      </w:r>
      <w:r w:rsidRPr="00D525A4">
        <w:t>)</w:t>
      </w:r>
      <w:r w:rsidRPr="00D525A4">
        <w:tab/>
        <w:t>environmental crime;</w:t>
      </w:r>
    </w:p>
    <w:p w14:paraId="733A3463" w14:textId="136F7744" w:rsidR="000F52AC" w:rsidRPr="00D525A4" w:rsidRDefault="000F52AC" w:rsidP="000F52AC">
      <w:pPr>
        <w:pStyle w:val="paragraphsub"/>
      </w:pPr>
      <w:r w:rsidRPr="00D525A4">
        <w:tab/>
        <w:t>(x</w:t>
      </w:r>
      <w:r w:rsidR="001C78F9" w:rsidRPr="00D525A4">
        <w:t>xii</w:t>
      </w:r>
      <w:r w:rsidRPr="00D525A4">
        <w:t>)</w:t>
      </w:r>
      <w:r w:rsidRPr="00D525A4">
        <w:tab/>
        <w:t>robbery or theft;</w:t>
      </w:r>
    </w:p>
    <w:p w14:paraId="1AF8BFF0" w14:textId="1430A1D4" w:rsidR="000F52AC" w:rsidRPr="00D525A4" w:rsidRDefault="000F52AC" w:rsidP="000F52AC">
      <w:pPr>
        <w:pStyle w:val="paragraphsub"/>
      </w:pPr>
      <w:r w:rsidRPr="00D525A4">
        <w:tab/>
        <w:t>(xx</w:t>
      </w:r>
      <w:r w:rsidR="001C78F9" w:rsidRPr="00D525A4">
        <w:t>iii</w:t>
      </w:r>
      <w:r w:rsidRPr="00D525A4">
        <w:t>)</w:t>
      </w:r>
      <w:r w:rsidRPr="00D525A4">
        <w:tab/>
        <w:t>kidnapping, illegal restraint or taking hostages;</w:t>
      </w:r>
    </w:p>
    <w:p w14:paraId="53E82B55" w14:textId="7AC7A709" w:rsidR="000F52AC" w:rsidRPr="00D525A4" w:rsidRDefault="000F52AC" w:rsidP="000F52AC">
      <w:pPr>
        <w:pStyle w:val="paragraphsub"/>
      </w:pPr>
      <w:r w:rsidRPr="00D525A4">
        <w:tab/>
        <w:t>(xxi</w:t>
      </w:r>
      <w:r w:rsidR="001C78F9" w:rsidRPr="00D525A4">
        <w:t>v</w:t>
      </w:r>
      <w:r w:rsidRPr="00D525A4">
        <w:t>)</w:t>
      </w:r>
      <w:r w:rsidRPr="00D525A4">
        <w:tab/>
        <w:t>smuggling (including offences in relation to customs and excise);</w:t>
      </w:r>
    </w:p>
    <w:p w14:paraId="0CD35138" w14:textId="5C131D40" w:rsidR="000F52AC" w:rsidRPr="00D525A4" w:rsidRDefault="000F52AC" w:rsidP="000F52AC">
      <w:pPr>
        <w:pStyle w:val="paragraphsub"/>
      </w:pPr>
      <w:r w:rsidRPr="00D525A4">
        <w:tab/>
        <w:t>(xx</w:t>
      </w:r>
      <w:r w:rsidR="001C78F9" w:rsidRPr="00D525A4">
        <w:t>v</w:t>
      </w:r>
      <w:r w:rsidRPr="00D525A4">
        <w:t>)</w:t>
      </w:r>
      <w:r w:rsidRPr="00D525A4">
        <w:tab/>
        <w:t>murder or grievous bodily harm;</w:t>
      </w:r>
    </w:p>
    <w:p w14:paraId="5DAF7586" w14:textId="0E1A9C75" w:rsidR="001C78F9" w:rsidRPr="00D525A4" w:rsidRDefault="000F52AC" w:rsidP="001C78F9">
      <w:pPr>
        <w:pStyle w:val="paragraphsub"/>
      </w:pPr>
      <w:r w:rsidRPr="00D525A4">
        <w:tab/>
        <w:t>(xx</w:t>
      </w:r>
      <w:r w:rsidR="001C78F9" w:rsidRPr="00D525A4">
        <w:t>vi</w:t>
      </w:r>
      <w:r w:rsidRPr="00D525A4">
        <w:t>)</w:t>
      </w:r>
      <w:r w:rsidRPr="00D525A4">
        <w:tab/>
        <w:t>cybercrime</w:t>
      </w:r>
      <w:r w:rsidR="00755CFD" w:rsidRPr="00D525A4">
        <w:t>;</w:t>
      </w:r>
    </w:p>
    <w:p w14:paraId="70EF667C" w14:textId="6D6579A6" w:rsidR="00755CFD" w:rsidRPr="00D525A4" w:rsidRDefault="00755CFD" w:rsidP="001C78F9">
      <w:pPr>
        <w:pStyle w:val="paragraphsub"/>
      </w:pPr>
      <w:r w:rsidRPr="00D525A4">
        <w:tab/>
        <w:t>(xxvii)</w:t>
      </w:r>
      <w:r w:rsidRPr="00D525A4">
        <w:tab/>
        <w:t>any other kind of offence that the reporting entity has identified in its ML/TF risk assessment as presenting a high risk in relation to the occurrence of money laundering.</w:t>
      </w:r>
    </w:p>
    <w:p w14:paraId="34E4F41E" w14:textId="7ADA8240" w:rsidR="003504E9" w:rsidRPr="00D525A4" w:rsidRDefault="000F52AC" w:rsidP="001E4CF4">
      <w:pPr>
        <w:pStyle w:val="notetext"/>
      </w:pPr>
      <w:r w:rsidRPr="00D525A4">
        <w:t>Note:</w:t>
      </w:r>
      <w:r w:rsidRPr="00D525A4">
        <w:tab/>
        <w:t>Sub</w:t>
      </w:r>
      <w:r w:rsidR="005C5E95" w:rsidRPr="00D525A4">
        <w:t>paragraph 4</w:t>
      </w:r>
      <w:r w:rsidRPr="00D525A4">
        <w:t>1(f)(iii) of the Act refers to the reporting entity suspecting on reasonable grounds that information it has may be relevant to investigation of, or prosecution of a person for, an offence against a law of the Commonwealth or of a State or Territory.</w:t>
      </w:r>
    </w:p>
    <w:p w14:paraId="3539FCF7" w14:textId="2BCF645C" w:rsidR="00C42195" w:rsidRPr="00D525A4" w:rsidRDefault="00A25E52" w:rsidP="00A25E52">
      <w:pPr>
        <w:pStyle w:val="ActHead3"/>
        <w:pageBreakBefore/>
      </w:pPr>
      <w:bookmarkStart w:id="124" w:name="_Toc198225010"/>
      <w:r w:rsidRPr="00D525A4">
        <w:rPr>
          <w:rStyle w:val="CharDivNo"/>
        </w:rPr>
        <w:lastRenderedPageBreak/>
        <w:t>Division </w:t>
      </w:r>
      <w:r w:rsidR="009B152C" w:rsidRPr="00D525A4">
        <w:rPr>
          <w:rStyle w:val="CharDivNo"/>
        </w:rPr>
        <w:t>5</w:t>
      </w:r>
      <w:r w:rsidR="00C42195" w:rsidRPr="00D525A4">
        <w:t>—</w:t>
      </w:r>
      <w:r w:rsidR="00C42195" w:rsidRPr="00D525A4">
        <w:rPr>
          <w:rStyle w:val="CharDivText"/>
        </w:rPr>
        <w:t>Politically exposed persons</w:t>
      </w:r>
      <w:bookmarkEnd w:id="124"/>
    </w:p>
    <w:p w14:paraId="5BA25A4A" w14:textId="7C9C6826" w:rsidR="00C42195" w:rsidRPr="00D525A4" w:rsidRDefault="00EC097E" w:rsidP="00C42195">
      <w:pPr>
        <w:pStyle w:val="ActHead5"/>
      </w:pPr>
      <w:bookmarkStart w:id="125" w:name="_Toc198225011"/>
      <w:r w:rsidRPr="00D525A4">
        <w:rPr>
          <w:rStyle w:val="CharSectno"/>
        </w:rPr>
        <w:t>5</w:t>
      </w:r>
      <w:r w:rsidR="00D525A4">
        <w:rPr>
          <w:rStyle w:val="CharSectno"/>
        </w:rPr>
        <w:noBreakHyphen/>
      </w:r>
      <w:r w:rsidRPr="00D525A4">
        <w:rPr>
          <w:rStyle w:val="CharSectno"/>
        </w:rPr>
        <w:t>21</w:t>
      </w:r>
      <w:r w:rsidR="00C42195" w:rsidRPr="00D525A4">
        <w:t xml:space="preserve">  Matters for initial customer due diligence—politically exposed person</w:t>
      </w:r>
      <w:bookmarkEnd w:id="125"/>
    </w:p>
    <w:p w14:paraId="7E6EC03D" w14:textId="2189B142" w:rsidR="00C42195" w:rsidRPr="00D525A4" w:rsidRDefault="00C42195" w:rsidP="00C42195">
      <w:pPr>
        <w:pStyle w:val="subsection"/>
      </w:pPr>
      <w:r w:rsidRPr="00D525A4">
        <w:tab/>
        <w:t>(1)</w:t>
      </w:r>
      <w:r w:rsidRPr="00D525A4">
        <w:tab/>
        <w:t xml:space="preserve">For the purposes of </w:t>
      </w:r>
      <w:r w:rsidR="009F59ED" w:rsidRPr="00D525A4">
        <w:t>paragraph 2</w:t>
      </w:r>
      <w:r w:rsidRPr="00D525A4">
        <w:t xml:space="preserve">8(2)(g) of the Act, the matters in </w:t>
      </w:r>
      <w:r w:rsidR="009F59ED" w:rsidRPr="00D525A4">
        <w:t>subsection (</w:t>
      </w:r>
      <w:r w:rsidRPr="00D525A4">
        <w:t>2) of this section are specified in relation to a customer if:</w:t>
      </w:r>
    </w:p>
    <w:p w14:paraId="79D1F1EC" w14:textId="3F11469D" w:rsidR="00C42195" w:rsidRPr="00D525A4" w:rsidRDefault="00C42195" w:rsidP="00C42195">
      <w:pPr>
        <w:pStyle w:val="paragraph"/>
      </w:pPr>
      <w:r w:rsidRPr="00D525A4">
        <w:tab/>
        <w:t>(a)</w:t>
      </w:r>
      <w:r w:rsidRPr="00D525A4">
        <w:tab/>
      </w:r>
      <w:r w:rsidR="008A1AAC" w:rsidRPr="00D525A4">
        <w:t xml:space="preserve">the reporting entity has established on reasonable grounds that </w:t>
      </w:r>
      <w:r w:rsidRPr="00D525A4">
        <w:t>the customer, any beneficial owner of the customer or any person on whose behalf the customer is receiving the designated service is a foreign politically exposed person; or</w:t>
      </w:r>
    </w:p>
    <w:p w14:paraId="45BAD572" w14:textId="322DB78C" w:rsidR="00C42195" w:rsidRPr="00D525A4" w:rsidRDefault="00C42195" w:rsidP="00C42195">
      <w:pPr>
        <w:pStyle w:val="paragraph"/>
      </w:pPr>
      <w:r w:rsidRPr="00D525A4">
        <w:tab/>
        <w:t>(b)</w:t>
      </w:r>
      <w:r w:rsidRPr="00D525A4">
        <w:tab/>
        <w:t>both:</w:t>
      </w:r>
    </w:p>
    <w:p w14:paraId="67B4B78C" w14:textId="13EB38BC" w:rsidR="00C42195" w:rsidRPr="00D525A4" w:rsidRDefault="00C42195" w:rsidP="00C42195">
      <w:pPr>
        <w:pStyle w:val="paragraphsub"/>
      </w:pPr>
      <w:r w:rsidRPr="00D525A4">
        <w:tab/>
        <w:t>(i)</w:t>
      </w:r>
      <w:r w:rsidRPr="00D525A4">
        <w:tab/>
      </w:r>
      <w:r w:rsidR="008A1AAC" w:rsidRPr="00D525A4">
        <w:t xml:space="preserve">the reporting entity has established on reasonable grounds that the </w:t>
      </w:r>
      <w:r w:rsidRPr="00D525A4">
        <w:t>customer, any beneficial owner of the customer or any person on whose behalf the customer is receiving the designated service is a domestic politically exposed person; and</w:t>
      </w:r>
    </w:p>
    <w:p w14:paraId="41F8D495" w14:textId="6C18AD50" w:rsidR="00C42195" w:rsidRPr="00D525A4" w:rsidRDefault="00C42195" w:rsidP="00C42195">
      <w:pPr>
        <w:pStyle w:val="paragraphsub"/>
      </w:pPr>
      <w:r w:rsidRPr="00D525A4">
        <w:tab/>
        <w:t>(ii)</w:t>
      </w:r>
      <w:r w:rsidRPr="00D525A4">
        <w:tab/>
        <w:t>the ML/TF risk of the customer is high; or</w:t>
      </w:r>
    </w:p>
    <w:p w14:paraId="0CB40CD5" w14:textId="0A74526B" w:rsidR="00C42195" w:rsidRPr="00D525A4" w:rsidRDefault="00C42195" w:rsidP="00C42195">
      <w:pPr>
        <w:pStyle w:val="paragraph"/>
      </w:pPr>
      <w:r w:rsidRPr="00D525A4">
        <w:tab/>
        <w:t>(c)</w:t>
      </w:r>
      <w:r w:rsidRPr="00D525A4">
        <w:tab/>
        <w:t>both:</w:t>
      </w:r>
    </w:p>
    <w:p w14:paraId="1CEDFA7E" w14:textId="328F57BB" w:rsidR="00C42195" w:rsidRPr="00D525A4" w:rsidRDefault="00C42195" w:rsidP="00C42195">
      <w:pPr>
        <w:pStyle w:val="paragraphsub"/>
      </w:pPr>
      <w:r w:rsidRPr="00D525A4">
        <w:tab/>
        <w:t>(i)</w:t>
      </w:r>
      <w:r w:rsidRPr="00D525A4">
        <w:tab/>
      </w:r>
      <w:r w:rsidR="008A1AAC" w:rsidRPr="00D525A4">
        <w:t xml:space="preserve">the reporting entity has established on reasonable grounds that the </w:t>
      </w:r>
      <w:r w:rsidRPr="00D525A4">
        <w:t>customer, any beneficial owner of the customer or any person on whose behalf the customer is receiving the designated service is an international organisation politically exposed person; and</w:t>
      </w:r>
    </w:p>
    <w:p w14:paraId="7E043694" w14:textId="4890B95D" w:rsidR="00C42195" w:rsidRPr="00D525A4" w:rsidRDefault="00C42195" w:rsidP="00C42195">
      <w:pPr>
        <w:pStyle w:val="paragraphsub"/>
      </w:pPr>
      <w:r w:rsidRPr="00D525A4">
        <w:tab/>
        <w:t>(ii)</w:t>
      </w:r>
      <w:r w:rsidRPr="00D525A4">
        <w:tab/>
        <w:t>the ML/TF risk of the customer is high.</w:t>
      </w:r>
    </w:p>
    <w:p w14:paraId="5030495F" w14:textId="77777777" w:rsidR="00C42195" w:rsidRPr="00D525A4" w:rsidRDefault="00C42195" w:rsidP="00C42195">
      <w:pPr>
        <w:pStyle w:val="subsection"/>
      </w:pPr>
      <w:r w:rsidRPr="00D525A4">
        <w:tab/>
        <w:t>(2)</w:t>
      </w:r>
      <w:r w:rsidRPr="00D525A4">
        <w:tab/>
        <w:t>The matters are:</w:t>
      </w:r>
    </w:p>
    <w:p w14:paraId="677B98A7" w14:textId="0D5949B0" w:rsidR="00C42195" w:rsidRPr="00D525A4" w:rsidRDefault="00C42195" w:rsidP="00C42195">
      <w:pPr>
        <w:pStyle w:val="paragraph"/>
      </w:pPr>
      <w:r w:rsidRPr="00D525A4">
        <w:tab/>
        <w:t>(a)</w:t>
      </w:r>
      <w:r w:rsidRPr="00D525A4">
        <w:tab/>
        <w:t>the source of the politically exposed person’s wealth; and</w:t>
      </w:r>
    </w:p>
    <w:p w14:paraId="0B9C2207" w14:textId="7F67AFB4" w:rsidR="00C42195" w:rsidRPr="00D525A4" w:rsidRDefault="00C42195" w:rsidP="00C42195">
      <w:pPr>
        <w:pStyle w:val="paragraph"/>
      </w:pPr>
      <w:r w:rsidRPr="00D525A4">
        <w:tab/>
        <w:t>(b)</w:t>
      </w:r>
      <w:r w:rsidRPr="00D525A4">
        <w:tab/>
        <w:t>the source of the politically exposed person’s funds.</w:t>
      </w:r>
    </w:p>
    <w:p w14:paraId="220531EE" w14:textId="5DDB6A62" w:rsidR="00E93FD9" w:rsidRPr="00D525A4" w:rsidRDefault="00E93FD9" w:rsidP="00E93FD9">
      <w:pPr>
        <w:pStyle w:val="subsection"/>
      </w:pPr>
      <w:r w:rsidRPr="00D525A4">
        <w:tab/>
        <w:t>(3)</w:t>
      </w:r>
      <w:r w:rsidRPr="00D525A4">
        <w:tab/>
        <w:t xml:space="preserve">A foreign politically exposed person is taken to be a domestic politically exposed person for the purposes of </w:t>
      </w:r>
      <w:r w:rsidR="009F59ED" w:rsidRPr="00D525A4">
        <w:t>subsection (</w:t>
      </w:r>
      <w:r w:rsidRPr="00D525A4">
        <w:t>1) if:</w:t>
      </w:r>
    </w:p>
    <w:p w14:paraId="3C593042" w14:textId="48DF9071" w:rsidR="00E93FD9" w:rsidRPr="00D525A4" w:rsidRDefault="00E93FD9" w:rsidP="00E93FD9">
      <w:pPr>
        <w:pStyle w:val="paragraph"/>
      </w:pPr>
      <w:r w:rsidRPr="00D525A4">
        <w:tab/>
        <w:t>(a)</w:t>
      </w:r>
      <w:r w:rsidRPr="00D525A4">
        <w:tab/>
        <w:t>the designated service is being provided to the customer at or through a permanent establishment in a foreign country; and</w:t>
      </w:r>
    </w:p>
    <w:p w14:paraId="61310B30" w14:textId="7C8166E4" w:rsidR="00E93FD9" w:rsidRPr="00D525A4" w:rsidRDefault="00E93FD9" w:rsidP="00C42195">
      <w:pPr>
        <w:pStyle w:val="paragraph"/>
      </w:pPr>
      <w:r w:rsidRPr="00D525A4">
        <w:tab/>
        <w:t>(b)</w:t>
      </w:r>
      <w:r w:rsidRPr="00D525A4">
        <w:tab/>
        <w:t>the foreign politically exposed person has that status because of the person’s connection to the same foreign country.</w:t>
      </w:r>
    </w:p>
    <w:p w14:paraId="7AFBE46F" w14:textId="2FD938B1" w:rsidR="000002BC" w:rsidRPr="00D525A4" w:rsidRDefault="00EC097E" w:rsidP="000002BC">
      <w:pPr>
        <w:pStyle w:val="ActHead5"/>
      </w:pPr>
      <w:bookmarkStart w:id="126" w:name="_Toc198225012"/>
      <w:r w:rsidRPr="00D525A4">
        <w:rPr>
          <w:rStyle w:val="CharSectno"/>
        </w:rPr>
        <w:t>5</w:t>
      </w:r>
      <w:r w:rsidR="00D525A4">
        <w:rPr>
          <w:rStyle w:val="CharSectno"/>
        </w:rPr>
        <w:noBreakHyphen/>
      </w:r>
      <w:r w:rsidRPr="00D525A4">
        <w:rPr>
          <w:rStyle w:val="CharSectno"/>
        </w:rPr>
        <w:t>22</w:t>
      </w:r>
      <w:r w:rsidR="000002BC" w:rsidRPr="00D525A4">
        <w:t xml:space="preserve">  </w:t>
      </w:r>
      <w:r w:rsidR="00A25910" w:rsidRPr="00D525A4">
        <w:t xml:space="preserve">Delayed </w:t>
      </w:r>
      <w:r w:rsidR="001E4CF4" w:rsidRPr="00D525A4">
        <w:t xml:space="preserve">initial </w:t>
      </w:r>
      <w:r w:rsidR="000002BC" w:rsidRPr="00D525A4">
        <w:t>due diligence</w:t>
      </w:r>
      <w:r w:rsidR="00A25910" w:rsidRPr="00D525A4">
        <w:t xml:space="preserve"> for certain matters</w:t>
      </w:r>
      <w:r w:rsidR="000002BC" w:rsidRPr="00D525A4">
        <w:t xml:space="preserve"> (politically exposed persons)—service provided in Australia</w:t>
      </w:r>
      <w:bookmarkEnd w:id="126"/>
    </w:p>
    <w:p w14:paraId="7AF18E7B" w14:textId="4C61ECCE" w:rsidR="000002BC" w:rsidRPr="00D525A4" w:rsidRDefault="000002BC" w:rsidP="000002BC">
      <w:pPr>
        <w:pStyle w:val="subsection"/>
      </w:pPr>
      <w:r w:rsidRPr="00D525A4">
        <w:tab/>
        <w:t>(1)</w:t>
      </w:r>
      <w:r w:rsidRPr="00D525A4">
        <w:tab/>
        <w:t xml:space="preserve">For the purposes of </w:t>
      </w:r>
      <w:r w:rsidR="009F59ED" w:rsidRPr="00D525A4">
        <w:t>paragraph 2</w:t>
      </w:r>
      <w:r w:rsidRPr="00D525A4">
        <w:t>9(a) of the Act, a reporting entity may commence to provide a designated service to a customer (subject to other requirements) in circumstances where the</w:t>
      </w:r>
      <w:r w:rsidR="0065603B" w:rsidRPr="00D525A4">
        <w:t xml:space="preserve"> reporting entity is required to establish the</w:t>
      </w:r>
      <w:r w:rsidRPr="00D525A4">
        <w:t xml:space="preserve"> matters </w:t>
      </w:r>
      <w:r w:rsidR="0065603B" w:rsidRPr="00D525A4">
        <w:t xml:space="preserve">specified </w:t>
      </w:r>
      <w:r w:rsidRPr="00D525A4">
        <w:t xml:space="preserve">in section </w:t>
      </w:r>
      <w:r w:rsidR="00EC097E" w:rsidRPr="00D525A4">
        <w:t>5</w:t>
      </w:r>
      <w:r w:rsidR="00D525A4">
        <w:noBreakHyphen/>
      </w:r>
      <w:r w:rsidR="00EC097E" w:rsidRPr="00D525A4">
        <w:t>21</w:t>
      </w:r>
      <w:r w:rsidRPr="00D525A4">
        <w:t xml:space="preserve"> </w:t>
      </w:r>
      <w:r w:rsidR="0065603B" w:rsidRPr="00D525A4">
        <w:t>on reasonable grounds</w:t>
      </w:r>
      <w:r w:rsidRPr="00D525A4">
        <w:t xml:space="preserve"> if the service is to be provided at or through a permanent establishment of the reporting entity in Australia.</w:t>
      </w:r>
    </w:p>
    <w:p w14:paraId="6E60F650" w14:textId="63C687EE" w:rsidR="000002BC" w:rsidRPr="00D525A4" w:rsidRDefault="000002BC" w:rsidP="000002BC">
      <w:pPr>
        <w:pStyle w:val="subsection"/>
      </w:pPr>
      <w:r w:rsidRPr="00D525A4">
        <w:tab/>
        <w:t>(2)</w:t>
      </w:r>
      <w:r w:rsidRPr="00D525A4">
        <w:tab/>
        <w:t xml:space="preserve">For the purposes of </w:t>
      </w:r>
      <w:r w:rsidR="009F59ED" w:rsidRPr="00D525A4">
        <w:t>paragraph 2</w:t>
      </w:r>
      <w:r w:rsidRPr="00D525A4">
        <w:t xml:space="preserve">9(f) of the Act, a requirement in the circumstances mentioned in </w:t>
      </w:r>
      <w:r w:rsidR="009F59ED" w:rsidRPr="00D525A4">
        <w:t>subsection (</w:t>
      </w:r>
      <w:r w:rsidRPr="00D525A4">
        <w:t xml:space="preserve">1) of this section is that the reporting entity has established on reasonable grounds each of the matters in </w:t>
      </w:r>
      <w:r w:rsidR="0010391B" w:rsidRPr="00D525A4">
        <w:t>subsection 2</w:t>
      </w:r>
      <w:r w:rsidRPr="00D525A4">
        <w:t>8(2) of the Act except the matters specified</w:t>
      </w:r>
      <w:r w:rsidR="002B5945" w:rsidRPr="00D525A4">
        <w:t xml:space="preserve"> </w:t>
      </w:r>
      <w:r w:rsidR="00A81BA9" w:rsidRPr="00D525A4">
        <w:t xml:space="preserve">in </w:t>
      </w:r>
      <w:r w:rsidRPr="00D525A4">
        <w:t xml:space="preserve">section </w:t>
      </w:r>
      <w:r w:rsidR="00EC097E" w:rsidRPr="00D525A4">
        <w:t>5</w:t>
      </w:r>
      <w:r w:rsidR="00D525A4">
        <w:noBreakHyphen/>
      </w:r>
      <w:r w:rsidR="00EC097E" w:rsidRPr="00D525A4">
        <w:t>21</w:t>
      </w:r>
      <w:r w:rsidRPr="00D525A4">
        <w:t xml:space="preserve"> of this instrument.</w:t>
      </w:r>
    </w:p>
    <w:p w14:paraId="1A56B41A" w14:textId="5259A148" w:rsidR="00C42195" w:rsidRPr="00D525A4" w:rsidRDefault="00EC097E" w:rsidP="00C42195">
      <w:pPr>
        <w:pStyle w:val="ActHead5"/>
      </w:pPr>
      <w:bookmarkStart w:id="127" w:name="_Toc198225013"/>
      <w:r w:rsidRPr="00D525A4">
        <w:rPr>
          <w:rStyle w:val="CharSectno"/>
        </w:rPr>
        <w:lastRenderedPageBreak/>
        <w:t>5</w:t>
      </w:r>
      <w:r w:rsidR="00D525A4">
        <w:rPr>
          <w:rStyle w:val="CharSectno"/>
        </w:rPr>
        <w:noBreakHyphen/>
      </w:r>
      <w:r w:rsidRPr="00D525A4">
        <w:rPr>
          <w:rStyle w:val="CharSectno"/>
        </w:rPr>
        <w:t>23</w:t>
      </w:r>
      <w:r w:rsidR="00C42195" w:rsidRPr="00D525A4">
        <w:t xml:space="preserve">  Ongoing customer due diligence—politically exposed person</w:t>
      </w:r>
      <w:bookmarkEnd w:id="127"/>
    </w:p>
    <w:p w14:paraId="0B480A69" w14:textId="47893871" w:rsidR="00C42195" w:rsidRPr="00D525A4" w:rsidRDefault="00C42195" w:rsidP="00C42195">
      <w:pPr>
        <w:pStyle w:val="subsection"/>
      </w:pPr>
      <w:r w:rsidRPr="00D525A4">
        <w:tab/>
      </w:r>
      <w:r w:rsidR="00E93FD9" w:rsidRPr="00D525A4">
        <w:t>(1)</w:t>
      </w:r>
      <w:r w:rsidRPr="00D525A4">
        <w:tab/>
        <w:t xml:space="preserve">For the purposes of </w:t>
      </w:r>
      <w:r w:rsidR="0013261E" w:rsidRPr="00D525A4">
        <w:t>subparagraph 3</w:t>
      </w:r>
      <w:r w:rsidRPr="00D525A4">
        <w:t>0(2)(c)(ii) of the Act, the reporting entity must review, and where appropriate, update and reverify KYC information relating to the customer if:</w:t>
      </w:r>
    </w:p>
    <w:p w14:paraId="65C42420" w14:textId="3963AF5F" w:rsidR="00C42195" w:rsidRPr="00D525A4" w:rsidRDefault="00C42195" w:rsidP="00C42195">
      <w:pPr>
        <w:pStyle w:val="paragraph"/>
      </w:pPr>
      <w:r w:rsidRPr="00D525A4">
        <w:tab/>
        <w:t>(a)</w:t>
      </w:r>
      <w:r w:rsidRPr="00D525A4">
        <w:tab/>
        <w:t>the customer</w:t>
      </w:r>
      <w:r w:rsidR="0057082B" w:rsidRPr="00D525A4">
        <w:t>, a beneficial owner of the customer or a person on whose behalf the customer is receiving the designated service</w:t>
      </w:r>
      <w:r w:rsidRPr="00D525A4">
        <w:t xml:space="preserve"> becomes a foreign politically exposed person; or</w:t>
      </w:r>
    </w:p>
    <w:p w14:paraId="16B9ACF4" w14:textId="2A38F7B9" w:rsidR="0057082B" w:rsidRPr="00D525A4" w:rsidRDefault="0057082B" w:rsidP="00C42195">
      <w:pPr>
        <w:pStyle w:val="paragraph"/>
      </w:pPr>
      <w:r w:rsidRPr="00D525A4">
        <w:tab/>
        <w:t>(b)</w:t>
      </w:r>
      <w:r w:rsidRPr="00D525A4">
        <w:tab/>
        <w:t>both:</w:t>
      </w:r>
    </w:p>
    <w:p w14:paraId="47750C8C" w14:textId="27173169" w:rsidR="0057082B" w:rsidRPr="00D525A4" w:rsidRDefault="0057082B" w:rsidP="0057082B">
      <w:pPr>
        <w:pStyle w:val="paragraphsub"/>
      </w:pPr>
      <w:r w:rsidRPr="00D525A4">
        <w:tab/>
        <w:t>(i)</w:t>
      </w:r>
      <w:r w:rsidRPr="00D525A4">
        <w:tab/>
        <w:t>the customer, a beneficial owner of the customer or a person on whose behalf the customer is receiving the designated service becomes a domestic politically exposed person; and</w:t>
      </w:r>
    </w:p>
    <w:p w14:paraId="706F35DE" w14:textId="77777777" w:rsidR="0057082B" w:rsidRPr="00D525A4" w:rsidRDefault="0057082B" w:rsidP="0057082B">
      <w:pPr>
        <w:pStyle w:val="paragraphsub"/>
      </w:pPr>
      <w:r w:rsidRPr="00D525A4">
        <w:tab/>
        <w:t>(ii)</w:t>
      </w:r>
      <w:r w:rsidRPr="00D525A4">
        <w:tab/>
        <w:t>the ML/TF risk of the customer is high; or</w:t>
      </w:r>
    </w:p>
    <w:p w14:paraId="75726BC6" w14:textId="77777777" w:rsidR="0057082B" w:rsidRPr="00D525A4" w:rsidRDefault="0057082B" w:rsidP="0057082B">
      <w:pPr>
        <w:pStyle w:val="paragraph"/>
      </w:pPr>
      <w:r w:rsidRPr="00D525A4">
        <w:tab/>
        <w:t>(c)</w:t>
      </w:r>
      <w:r w:rsidRPr="00D525A4">
        <w:tab/>
        <w:t>both:</w:t>
      </w:r>
    </w:p>
    <w:p w14:paraId="419D7AF3" w14:textId="456C96C3" w:rsidR="0057082B" w:rsidRPr="00D525A4" w:rsidRDefault="0057082B" w:rsidP="0057082B">
      <w:pPr>
        <w:pStyle w:val="paragraphsub"/>
      </w:pPr>
      <w:r w:rsidRPr="00D525A4">
        <w:tab/>
        <w:t>(i)</w:t>
      </w:r>
      <w:r w:rsidRPr="00D525A4">
        <w:tab/>
        <w:t>the customer, a beneficial owner of the customer or a person on whose behalf the customer is receiving the designated service becomes an international organisation politically exposed person; and</w:t>
      </w:r>
    </w:p>
    <w:p w14:paraId="6823E5B3" w14:textId="36A8DE1B" w:rsidR="00C42195" w:rsidRPr="00D525A4" w:rsidRDefault="0057082B" w:rsidP="0057082B">
      <w:pPr>
        <w:pStyle w:val="paragraphsub"/>
      </w:pPr>
      <w:r w:rsidRPr="00D525A4">
        <w:tab/>
        <w:t>(ii)</w:t>
      </w:r>
      <w:r w:rsidRPr="00D525A4">
        <w:tab/>
        <w:t>the ML/TF risk of the customer is high.</w:t>
      </w:r>
    </w:p>
    <w:p w14:paraId="58E73033" w14:textId="5E57C8F4" w:rsidR="00E93FD9" w:rsidRPr="00D525A4" w:rsidRDefault="00E93FD9" w:rsidP="00E93FD9">
      <w:pPr>
        <w:pStyle w:val="subsection"/>
      </w:pPr>
      <w:r w:rsidRPr="00D525A4">
        <w:tab/>
        <w:t>(2)</w:t>
      </w:r>
      <w:r w:rsidRPr="00D525A4">
        <w:tab/>
        <w:t xml:space="preserve">A foreign politically exposed person is taken to be a domestic politically exposed person for the purposes of </w:t>
      </w:r>
      <w:r w:rsidR="009F59ED" w:rsidRPr="00D525A4">
        <w:t>subsection (</w:t>
      </w:r>
      <w:r w:rsidRPr="00D525A4">
        <w:t>1) if:</w:t>
      </w:r>
    </w:p>
    <w:p w14:paraId="3830F08A" w14:textId="74F2F8CC" w:rsidR="00E93FD9" w:rsidRPr="00D525A4" w:rsidRDefault="00E93FD9" w:rsidP="00E93FD9">
      <w:pPr>
        <w:pStyle w:val="paragraph"/>
      </w:pPr>
      <w:r w:rsidRPr="00D525A4">
        <w:tab/>
        <w:t>(a)</w:t>
      </w:r>
      <w:r w:rsidRPr="00D525A4">
        <w:tab/>
        <w:t>the designated service is being provided to the customer at or through a permanent establishment in a foreign country; and</w:t>
      </w:r>
    </w:p>
    <w:p w14:paraId="50192109" w14:textId="24374A93" w:rsidR="00E93FD9" w:rsidRPr="00D525A4" w:rsidRDefault="00E93FD9" w:rsidP="00E93FD9">
      <w:pPr>
        <w:pStyle w:val="paragraph"/>
      </w:pPr>
      <w:r w:rsidRPr="00D525A4">
        <w:tab/>
        <w:t>(b)</w:t>
      </w:r>
      <w:r w:rsidRPr="00D525A4">
        <w:tab/>
        <w:t>the foreign politically exposed person has that status because of the person’s connection to the same foreign country.</w:t>
      </w:r>
    </w:p>
    <w:p w14:paraId="57C3B316" w14:textId="2A91E4F2" w:rsidR="009B152C" w:rsidRPr="00D525A4" w:rsidRDefault="009B152C" w:rsidP="009B152C">
      <w:pPr>
        <w:pStyle w:val="ActHead3"/>
        <w:pageBreakBefore/>
      </w:pPr>
      <w:bookmarkStart w:id="128" w:name="_Toc198225014"/>
      <w:r w:rsidRPr="00D525A4">
        <w:rPr>
          <w:rStyle w:val="CharDivNo"/>
        </w:rPr>
        <w:lastRenderedPageBreak/>
        <w:t>Division 6</w:t>
      </w:r>
      <w:r w:rsidRPr="00D525A4">
        <w:t>—</w:t>
      </w:r>
      <w:r w:rsidRPr="00D525A4">
        <w:rPr>
          <w:rStyle w:val="CharDivText"/>
        </w:rPr>
        <w:t>Nested service relationships</w:t>
      </w:r>
      <w:bookmarkEnd w:id="128"/>
    </w:p>
    <w:p w14:paraId="09BA2844" w14:textId="2D75BBD6" w:rsidR="009B152C" w:rsidRPr="00D525A4" w:rsidRDefault="00EC097E" w:rsidP="009B152C">
      <w:pPr>
        <w:pStyle w:val="ActHead5"/>
      </w:pPr>
      <w:bookmarkStart w:id="129" w:name="_Toc198225015"/>
      <w:r w:rsidRPr="00D525A4">
        <w:rPr>
          <w:rStyle w:val="CharSectno"/>
        </w:rPr>
        <w:t>5</w:t>
      </w:r>
      <w:r w:rsidR="00D525A4">
        <w:rPr>
          <w:rStyle w:val="CharSectno"/>
        </w:rPr>
        <w:noBreakHyphen/>
      </w:r>
      <w:r w:rsidRPr="00D525A4">
        <w:rPr>
          <w:rStyle w:val="CharSectno"/>
        </w:rPr>
        <w:t>24</w:t>
      </w:r>
      <w:r w:rsidR="009B152C" w:rsidRPr="00D525A4">
        <w:t xml:space="preserve">  Matters for initial customer due diligence—nested services relationship</w:t>
      </w:r>
      <w:bookmarkEnd w:id="129"/>
    </w:p>
    <w:p w14:paraId="45A760F1" w14:textId="703CF00E" w:rsidR="009B152C" w:rsidRPr="00D525A4" w:rsidRDefault="009B152C" w:rsidP="009B152C">
      <w:pPr>
        <w:pStyle w:val="subsection"/>
      </w:pPr>
      <w:r w:rsidRPr="00D525A4">
        <w:tab/>
      </w:r>
      <w:r w:rsidRPr="00D525A4">
        <w:tab/>
        <w:t xml:space="preserve">For the purposes of </w:t>
      </w:r>
      <w:r w:rsidR="009F59ED" w:rsidRPr="00D525A4">
        <w:t>paragraph 2</w:t>
      </w:r>
      <w:r w:rsidRPr="00D525A4">
        <w:t>8(2)(g) of the Act, the following matters are specified in relation to a customer of a reporting entity when a designated service is proposed to be provided to the customer as part of a nested services relationship:</w:t>
      </w:r>
    </w:p>
    <w:p w14:paraId="413EC5C8" w14:textId="77777777" w:rsidR="009B152C" w:rsidRPr="00D525A4" w:rsidRDefault="009B152C" w:rsidP="009B152C">
      <w:pPr>
        <w:pStyle w:val="paragraph"/>
      </w:pPr>
      <w:r w:rsidRPr="00D525A4">
        <w:tab/>
        <w:t>(a)</w:t>
      </w:r>
      <w:r w:rsidRPr="00D525A4">
        <w:tab/>
        <w:t>the ownership, control and management structures of:</w:t>
      </w:r>
    </w:p>
    <w:p w14:paraId="20366765" w14:textId="77777777" w:rsidR="009B152C" w:rsidRPr="00D525A4" w:rsidRDefault="009B152C" w:rsidP="009B152C">
      <w:pPr>
        <w:pStyle w:val="paragraphsub"/>
      </w:pPr>
      <w:r w:rsidRPr="00D525A4">
        <w:tab/>
        <w:t>(i)</w:t>
      </w:r>
      <w:r w:rsidRPr="00D525A4">
        <w:tab/>
        <w:t>the customer; and</w:t>
      </w:r>
    </w:p>
    <w:p w14:paraId="62294A15" w14:textId="77777777" w:rsidR="009B152C" w:rsidRPr="00D525A4" w:rsidRDefault="009B152C" w:rsidP="009B152C">
      <w:pPr>
        <w:pStyle w:val="paragraphsub"/>
      </w:pPr>
      <w:r w:rsidRPr="00D525A4">
        <w:tab/>
        <w:t>(ii)</w:t>
      </w:r>
      <w:r w:rsidRPr="00D525A4">
        <w:tab/>
        <w:t>the ultimate parent of the customer (if any);</w:t>
      </w:r>
    </w:p>
    <w:p w14:paraId="650BF0E7" w14:textId="77777777" w:rsidR="009B152C" w:rsidRPr="00D525A4" w:rsidRDefault="009B152C" w:rsidP="009B152C">
      <w:pPr>
        <w:pStyle w:val="paragraph"/>
      </w:pPr>
      <w:r w:rsidRPr="00D525A4">
        <w:tab/>
        <w:t>(b)</w:t>
      </w:r>
      <w:r w:rsidRPr="00D525A4">
        <w:tab/>
        <w:t>the nature, size and complexity of the customer’s business, including:</w:t>
      </w:r>
    </w:p>
    <w:p w14:paraId="1625AFA1" w14:textId="77777777" w:rsidR="009B152C" w:rsidRPr="00D525A4" w:rsidRDefault="009B152C" w:rsidP="009B152C">
      <w:pPr>
        <w:pStyle w:val="paragraphsub"/>
      </w:pPr>
      <w:r w:rsidRPr="00D525A4">
        <w:tab/>
        <w:t>(i)</w:t>
      </w:r>
      <w:r w:rsidRPr="00D525A4">
        <w:tab/>
        <w:t>the products and services offered by the customer, and the delivery channels by which it provides services; and</w:t>
      </w:r>
    </w:p>
    <w:p w14:paraId="3ECF6192" w14:textId="77777777" w:rsidR="009B152C" w:rsidRPr="00D525A4" w:rsidRDefault="009B152C" w:rsidP="009B152C">
      <w:pPr>
        <w:pStyle w:val="paragraphsub"/>
      </w:pPr>
      <w:r w:rsidRPr="00D525A4">
        <w:tab/>
        <w:t>(ii)</w:t>
      </w:r>
      <w:r w:rsidRPr="00D525A4">
        <w:tab/>
        <w:t>the kinds of customers that the customer of the reporting entity has; and</w:t>
      </w:r>
    </w:p>
    <w:p w14:paraId="34DEECB7" w14:textId="77777777" w:rsidR="009B152C" w:rsidRPr="00D525A4" w:rsidRDefault="009B152C" w:rsidP="009B152C">
      <w:pPr>
        <w:pStyle w:val="paragraphsub"/>
      </w:pPr>
      <w:r w:rsidRPr="00D525A4">
        <w:tab/>
        <w:t>(iii)</w:t>
      </w:r>
      <w:r w:rsidRPr="00D525A4">
        <w:tab/>
        <w:t>the kinds of transactions that would be carried out on behalf of the customer’s own customers as part of the nested services relationship and the services that would be provided to those customers that relate to such transactions;</w:t>
      </w:r>
    </w:p>
    <w:p w14:paraId="672BF7AD" w14:textId="77777777" w:rsidR="009B152C" w:rsidRPr="00D525A4" w:rsidRDefault="009B152C" w:rsidP="009B152C">
      <w:pPr>
        <w:pStyle w:val="paragraph"/>
      </w:pPr>
      <w:r w:rsidRPr="00D525A4">
        <w:tab/>
        <w:t>(c)</w:t>
      </w:r>
      <w:r w:rsidRPr="00D525A4">
        <w:tab/>
        <w:t>the country or countries:</w:t>
      </w:r>
    </w:p>
    <w:p w14:paraId="1CC9A7D4" w14:textId="77777777" w:rsidR="009B152C" w:rsidRPr="00D525A4" w:rsidRDefault="009B152C" w:rsidP="009B152C">
      <w:pPr>
        <w:pStyle w:val="paragraphsub"/>
      </w:pPr>
      <w:r w:rsidRPr="00D525A4">
        <w:tab/>
        <w:t>(i)</w:t>
      </w:r>
      <w:r w:rsidRPr="00D525A4">
        <w:tab/>
        <w:t>in which the customer operates or of which it is a resident; and</w:t>
      </w:r>
    </w:p>
    <w:p w14:paraId="7F382CC7" w14:textId="59A2BE9F" w:rsidR="009B152C" w:rsidRPr="00D525A4" w:rsidRDefault="009B152C" w:rsidP="009B152C">
      <w:pPr>
        <w:pStyle w:val="paragraphsub"/>
      </w:pPr>
      <w:r w:rsidRPr="00D525A4">
        <w:tab/>
        <w:t>(ii)</w:t>
      </w:r>
      <w:r w:rsidRPr="00D525A4">
        <w:tab/>
        <w:t>if the ultimate parent of the customer (if any) has group</w:t>
      </w:r>
      <w:r w:rsidR="00D525A4">
        <w:noBreakHyphen/>
      </w:r>
      <w:r w:rsidRPr="00D525A4">
        <w:t>wide anti</w:t>
      </w:r>
      <w:r w:rsidR="00D525A4">
        <w:noBreakHyphen/>
      </w:r>
      <w:r w:rsidRPr="00D525A4">
        <w:t>money laundering and counter</w:t>
      </w:r>
      <w:r w:rsidR="00D525A4">
        <w:noBreakHyphen/>
      </w:r>
      <w:r w:rsidRPr="00D525A4">
        <w:t>terrorism financing systems and controls, and the customer operates within the requirements of those controls—in which the ultimate parent operates or of which it is a resident;</w:t>
      </w:r>
    </w:p>
    <w:p w14:paraId="291ADA69" w14:textId="6561B06D" w:rsidR="009B152C" w:rsidRPr="00D525A4" w:rsidRDefault="009B152C" w:rsidP="009B152C">
      <w:pPr>
        <w:pStyle w:val="paragraph"/>
      </w:pPr>
      <w:r w:rsidRPr="00D525A4">
        <w:tab/>
        <w:t>(d)</w:t>
      </w:r>
      <w:r w:rsidRPr="00D525A4">
        <w:tab/>
        <w:t>the existence and quality of any anti</w:t>
      </w:r>
      <w:r w:rsidR="00D525A4">
        <w:noBreakHyphen/>
      </w:r>
      <w:r w:rsidRPr="00D525A4">
        <w:t>money laundering and counter</w:t>
      </w:r>
      <w:r w:rsidR="00D525A4">
        <w:noBreakHyphen/>
      </w:r>
      <w:r w:rsidRPr="00D525A4">
        <w:t xml:space="preserve">terrorism financing regulation and supervision in the country or countries identified under </w:t>
      </w:r>
      <w:r w:rsidR="009F59ED" w:rsidRPr="00D525A4">
        <w:t>paragraph (</w:t>
      </w:r>
      <w:r w:rsidRPr="00D525A4">
        <w:t>c) and the customer’s compliance practices in relation to those regulations;</w:t>
      </w:r>
    </w:p>
    <w:p w14:paraId="0639BB66" w14:textId="0B3666E9" w:rsidR="009B152C" w:rsidRPr="00D525A4" w:rsidRDefault="009B152C" w:rsidP="009B152C">
      <w:pPr>
        <w:pStyle w:val="paragraph"/>
      </w:pPr>
      <w:r w:rsidRPr="00D525A4">
        <w:tab/>
        <w:t>(e)</w:t>
      </w:r>
      <w:r w:rsidRPr="00D525A4">
        <w:tab/>
        <w:t>the appropriateness of the customer’s anti</w:t>
      </w:r>
      <w:r w:rsidR="00D525A4">
        <w:noBreakHyphen/>
      </w:r>
      <w:r w:rsidRPr="00D525A4">
        <w:t>money laundering and counter</w:t>
      </w:r>
      <w:r w:rsidR="00D525A4">
        <w:noBreakHyphen/>
      </w:r>
      <w:r w:rsidRPr="00D525A4">
        <w:t>terrorism financing systems and controls;</w:t>
      </w:r>
    </w:p>
    <w:p w14:paraId="6FD6F5F1" w14:textId="39194ABB" w:rsidR="009B152C" w:rsidRPr="00D525A4" w:rsidRDefault="009B152C" w:rsidP="009B152C">
      <w:pPr>
        <w:pStyle w:val="paragraph"/>
      </w:pPr>
      <w:r w:rsidRPr="00D525A4">
        <w:tab/>
        <w:t>(f)</w:t>
      </w:r>
      <w:r w:rsidRPr="00D525A4">
        <w:tab/>
        <w:t xml:space="preserve">publicly available information relating to the reputation of the customer and the members </w:t>
      </w:r>
      <w:r w:rsidR="00A25910" w:rsidRPr="00D525A4">
        <w:t xml:space="preserve">(if any) </w:t>
      </w:r>
      <w:r w:rsidRPr="00D525A4">
        <w:t xml:space="preserve">of the business group of which the customer is a member </w:t>
      </w:r>
      <w:r w:rsidR="00A25910" w:rsidRPr="00D525A4">
        <w:t>that are a remitter, virtual asset service provider or financial institution</w:t>
      </w:r>
      <w:r w:rsidRPr="00D525A4">
        <w:t xml:space="preserve">, including whether the customer or any </w:t>
      </w:r>
      <w:r w:rsidR="00A25910" w:rsidRPr="00D525A4">
        <w:t>of those members</w:t>
      </w:r>
      <w:r w:rsidRPr="00D525A4">
        <w:t xml:space="preserve"> ha</w:t>
      </w:r>
      <w:r w:rsidR="00331A08" w:rsidRPr="00D525A4">
        <w:t>s</w:t>
      </w:r>
      <w:r w:rsidRPr="00D525A4">
        <w:t xml:space="preserve"> been the subject of:</w:t>
      </w:r>
    </w:p>
    <w:p w14:paraId="24A6201B" w14:textId="681AF3E4" w:rsidR="009B152C" w:rsidRPr="00D525A4" w:rsidRDefault="009B152C" w:rsidP="009B152C">
      <w:pPr>
        <w:pStyle w:val="paragraphsub"/>
      </w:pPr>
      <w:r w:rsidRPr="00D525A4">
        <w:tab/>
        <w:t>(i)</w:t>
      </w:r>
      <w:r w:rsidRPr="00D525A4">
        <w:tab/>
        <w:t>a regulatory investigation relating to implementation of anti</w:t>
      </w:r>
      <w:r w:rsidR="00D525A4">
        <w:noBreakHyphen/>
      </w:r>
      <w:r w:rsidRPr="00D525A4">
        <w:t>money laundering, counter</w:t>
      </w:r>
      <w:r w:rsidR="00D525A4">
        <w:noBreakHyphen/>
      </w:r>
      <w:r w:rsidRPr="00D525A4">
        <w:t>terrorism financing or sanctions obligations; or</w:t>
      </w:r>
    </w:p>
    <w:p w14:paraId="142A6189" w14:textId="51367F28" w:rsidR="009B152C" w:rsidRPr="00D525A4" w:rsidRDefault="009B152C" w:rsidP="009B152C">
      <w:pPr>
        <w:pStyle w:val="paragraphsub"/>
      </w:pPr>
      <w:r w:rsidRPr="00D525A4">
        <w:tab/>
        <w:t>(ii)</w:t>
      </w:r>
      <w:r w:rsidRPr="00D525A4">
        <w:tab/>
        <w:t>adverse regulatory action relating to implementation of anti</w:t>
      </w:r>
      <w:r w:rsidR="00D525A4">
        <w:noBreakHyphen/>
      </w:r>
      <w:r w:rsidRPr="00D525A4">
        <w:t>money laundering, counter</w:t>
      </w:r>
      <w:r w:rsidR="00D525A4">
        <w:noBreakHyphen/>
      </w:r>
      <w:r w:rsidRPr="00D525A4">
        <w:t>terrorism financing or sanctions obligations; or</w:t>
      </w:r>
    </w:p>
    <w:p w14:paraId="38EC8150" w14:textId="77777777" w:rsidR="009B152C" w:rsidRPr="00D525A4" w:rsidRDefault="009B152C" w:rsidP="009B152C">
      <w:pPr>
        <w:pStyle w:val="paragraphsub"/>
      </w:pPr>
      <w:r w:rsidRPr="00D525A4">
        <w:tab/>
        <w:t>(iii)</w:t>
      </w:r>
      <w:r w:rsidRPr="00D525A4">
        <w:tab/>
        <w:t>an investigation or criminal or civil proceedings relating to money laundering, financing of terrorism or other serious crimes;</w:t>
      </w:r>
    </w:p>
    <w:p w14:paraId="6429AAE9" w14:textId="77777777" w:rsidR="009B152C" w:rsidRPr="00D525A4" w:rsidRDefault="009B152C" w:rsidP="009B152C">
      <w:pPr>
        <w:pStyle w:val="paragraph"/>
      </w:pPr>
      <w:r w:rsidRPr="00D525A4">
        <w:tab/>
        <w:t>(g)</w:t>
      </w:r>
      <w:r w:rsidRPr="00D525A4">
        <w:tab/>
        <w:t>whether the customer of the reporting entity:</w:t>
      </w:r>
    </w:p>
    <w:p w14:paraId="2D8E861C" w14:textId="77777777" w:rsidR="009B152C" w:rsidRPr="00D525A4" w:rsidRDefault="009B152C" w:rsidP="009B152C">
      <w:pPr>
        <w:pStyle w:val="paragraphsub"/>
      </w:pPr>
      <w:r w:rsidRPr="00D525A4">
        <w:lastRenderedPageBreak/>
        <w:tab/>
        <w:t>(i)</w:t>
      </w:r>
      <w:r w:rsidRPr="00D525A4">
        <w:tab/>
        <w:t>would undertake initial customer due diligence and ongoing customer due diligence in relation to its own customers who would be provided services as part of the nested services relationship; and</w:t>
      </w:r>
    </w:p>
    <w:p w14:paraId="4FBBB55D" w14:textId="77777777" w:rsidR="009B152C" w:rsidRPr="00D525A4" w:rsidRDefault="009B152C" w:rsidP="009B152C">
      <w:pPr>
        <w:pStyle w:val="paragraphsub"/>
      </w:pPr>
      <w:r w:rsidRPr="00D525A4">
        <w:tab/>
        <w:t>(ii)</w:t>
      </w:r>
      <w:r w:rsidRPr="00D525A4">
        <w:tab/>
        <w:t>would be able to provide to the reporting entity, on request, information collected when the customer undertakes initial customer due diligence and ongoing customer due diligence in relation to those customers and the reliable and independent data used to verify the information;</w:t>
      </w:r>
    </w:p>
    <w:p w14:paraId="6F299EC7" w14:textId="77777777" w:rsidR="009B152C" w:rsidRPr="00D525A4" w:rsidRDefault="009B152C" w:rsidP="009B152C">
      <w:pPr>
        <w:pStyle w:val="paragraph"/>
      </w:pPr>
      <w:r w:rsidRPr="00D525A4">
        <w:tab/>
        <w:t>(h)</w:t>
      </w:r>
      <w:r w:rsidRPr="00D525A4">
        <w:tab/>
        <w:t>whether the customer allows shell banks to receive services;</w:t>
      </w:r>
    </w:p>
    <w:p w14:paraId="2ABD2B03" w14:textId="77777777" w:rsidR="009B152C" w:rsidRPr="00D525A4" w:rsidRDefault="009B152C" w:rsidP="009B152C">
      <w:pPr>
        <w:pStyle w:val="paragraph"/>
      </w:pPr>
      <w:r w:rsidRPr="00D525A4">
        <w:tab/>
        <w:t>(i)</w:t>
      </w:r>
      <w:r w:rsidRPr="00D525A4">
        <w:tab/>
        <w:t>whether the customer of the reporting entity ensures that it does not provide services to its own customers in circumstances where those customers have a nested service relationship or correspondent banking relationship with a shell bank.</w:t>
      </w:r>
    </w:p>
    <w:p w14:paraId="3627C92A" w14:textId="025A25F3" w:rsidR="009B152C" w:rsidRPr="00D525A4" w:rsidRDefault="00EC097E" w:rsidP="009B152C">
      <w:pPr>
        <w:pStyle w:val="ActHead5"/>
      </w:pPr>
      <w:bookmarkStart w:id="130" w:name="_Toc198225016"/>
      <w:r w:rsidRPr="00D525A4">
        <w:rPr>
          <w:rStyle w:val="CharSectno"/>
        </w:rPr>
        <w:t>5</w:t>
      </w:r>
      <w:r w:rsidR="00D525A4">
        <w:rPr>
          <w:rStyle w:val="CharSectno"/>
        </w:rPr>
        <w:noBreakHyphen/>
      </w:r>
      <w:r w:rsidRPr="00D525A4">
        <w:rPr>
          <w:rStyle w:val="CharSectno"/>
        </w:rPr>
        <w:t>25</w:t>
      </w:r>
      <w:r w:rsidR="009B152C" w:rsidRPr="00D525A4">
        <w:t xml:space="preserve">  Ongoing customer due diligence—nested services relationship</w:t>
      </w:r>
      <w:bookmarkEnd w:id="130"/>
    </w:p>
    <w:p w14:paraId="2F5D1724" w14:textId="42E37A70" w:rsidR="009B152C" w:rsidRPr="00D525A4" w:rsidRDefault="009B152C" w:rsidP="009B152C">
      <w:pPr>
        <w:pStyle w:val="subsection"/>
      </w:pPr>
      <w:r w:rsidRPr="00D525A4">
        <w:tab/>
        <w:t>(1)</w:t>
      </w:r>
      <w:r w:rsidRPr="00D525A4">
        <w:tab/>
        <w:t xml:space="preserve">For the purposes of </w:t>
      </w:r>
      <w:r w:rsidR="0013261E" w:rsidRPr="00D525A4">
        <w:t>subparagraph 3</w:t>
      </w:r>
      <w:r w:rsidRPr="00D525A4">
        <w:t>0(2)(b)(iii) of the Act, if the reporting entity provides designated services to a customer as part of a nested services relationship, the reporting entity must review and, where appropriate, update the reporting entity’s identification and assessment of the ML/TF risk of the customer no less than once every 2 years.</w:t>
      </w:r>
    </w:p>
    <w:p w14:paraId="214D937A" w14:textId="550862F3" w:rsidR="009B152C" w:rsidRPr="00D525A4" w:rsidRDefault="009B152C" w:rsidP="009B152C">
      <w:pPr>
        <w:pStyle w:val="subsection"/>
      </w:pPr>
      <w:r w:rsidRPr="00D525A4">
        <w:tab/>
        <w:t>(2)</w:t>
      </w:r>
      <w:r w:rsidRPr="00D525A4">
        <w:tab/>
        <w:t xml:space="preserve">For the purposes of </w:t>
      </w:r>
      <w:r w:rsidR="0013261E" w:rsidRPr="00D525A4">
        <w:t>subparagraph 3</w:t>
      </w:r>
      <w:r w:rsidRPr="00D525A4">
        <w:t>0(2)(c)(ii) of the Act, if the reporting entity provides designated services to a customer as part of a nested services relationship, the reporting entity must review and, where appropriate, update and reverify KYC information relating to the customer no less than once every 2 years.</w:t>
      </w:r>
    </w:p>
    <w:p w14:paraId="148149AF" w14:textId="5EC44DA5" w:rsidR="0085745E" w:rsidRPr="00D525A4" w:rsidRDefault="009B152C" w:rsidP="009B152C">
      <w:pPr>
        <w:pStyle w:val="subsection"/>
      </w:pPr>
      <w:r w:rsidRPr="00D525A4">
        <w:tab/>
        <w:t>(3)</w:t>
      </w:r>
      <w:r w:rsidRPr="00D525A4">
        <w:tab/>
        <w:t xml:space="preserve">For the purposes of </w:t>
      </w:r>
      <w:r w:rsidR="0013261E" w:rsidRPr="00D525A4">
        <w:t>subparagraph 3</w:t>
      </w:r>
      <w:r w:rsidRPr="00D525A4">
        <w:t>0(2)(c)(ii) of the Act, the reporting entity must review, and where appropriate, update and reverify KYC information relating to the customer if</w:t>
      </w:r>
      <w:r w:rsidR="008A27FC" w:rsidRPr="00D525A4">
        <w:t>:</w:t>
      </w:r>
    </w:p>
    <w:p w14:paraId="45B1C691" w14:textId="77777777" w:rsidR="008A27FC" w:rsidRPr="00D525A4" w:rsidRDefault="0085745E" w:rsidP="008A27FC">
      <w:pPr>
        <w:pStyle w:val="paragraph"/>
      </w:pPr>
      <w:r w:rsidRPr="00D525A4">
        <w:tab/>
        <w:t>(a)</w:t>
      </w:r>
      <w:r w:rsidRPr="00D525A4">
        <w:tab/>
      </w:r>
      <w:r w:rsidR="009B152C" w:rsidRPr="00D525A4">
        <w:t xml:space="preserve">the reporting entity commences to provide </w:t>
      </w:r>
      <w:r w:rsidR="002F6CE4" w:rsidRPr="00D525A4">
        <w:t xml:space="preserve">a </w:t>
      </w:r>
      <w:r w:rsidR="009B152C" w:rsidRPr="00D525A4">
        <w:t>designated service to the customer as part of a nested services relationship</w:t>
      </w:r>
      <w:r w:rsidR="008A27FC" w:rsidRPr="00D525A4">
        <w:t>; and</w:t>
      </w:r>
    </w:p>
    <w:p w14:paraId="5E34FE46" w14:textId="70B9169B" w:rsidR="0085745E" w:rsidRPr="00D525A4" w:rsidRDefault="008A27FC" w:rsidP="008A27FC">
      <w:pPr>
        <w:pStyle w:val="paragraph"/>
      </w:pPr>
      <w:r w:rsidRPr="00D525A4">
        <w:tab/>
        <w:t>(b)</w:t>
      </w:r>
      <w:r w:rsidRPr="00D525A4">
        <w:tab/>
        <w:t>the reporting entity has not previously provided that kind of designated service to the customer as part of such</w:t>
      </w:r>
      <w:r w:rsidR="00312E84" w:rsidRPr="00D525A4">
        <w:t xml:space="preserve"> a</w:t>
      </w:r>
      <w:r w:rsidRPr="00D525A4">
        <w:t xml:space="preserve"> relationship.</w:t>
      </w:r>
    </w:p>
    <w:p w14:paraId="22CCF2CF" w14:textId="34584754" w:rsidR="000E48FD" w:rsidRPr="00D525A4" w:rsidRDefault="00A25E52" w:rsidP="00A25E52">
      <w:pPr>
        <w:pStyle w:val="ActHead3"/>
        <w:pageBreakBefore/>
      </w:pPr>
      <w:bookmarkStart w:id="131" w:name="_Toc198225017"/>
      <w:r w:rsidRPr="00D525A4">
        <w:rPr>
          <w:rStyle w:val="CharDivNo"/>
        </w:rPr>
        <w:lastRenderedPageBreak/>
        <w:t>Division 7</w:t>
      </w:r>
      <w:r w:rsidR="000E48FD" w:rsidRPr="00D525A4">
        <w:t>—</w:t>
      </w:r>
      <w:r w:rsidR="000E48FD" w:rsidRPr="00D525A4">
        <w:rPr>
          <w:rStyle w:val="CharDivText"/>
        </w:rPr>
        <w:t>Reliance on collection and verification of KYC information</w:t>
      </w:r>
      <w:bookmarkEnd w:id="131"/>
    </w:p>
    <w:p w14:paraId="1C2574E0" w14:textId="7F864E26" w:rsidR="000E48FD" w:rsidRPr="00D525A4" w:rsidRDefault="00EC097E" w:rsidP="000E48FD">
      <w:pPr>
        <w:pStyle w:val="ActHead5"/>
      </w:pPr>
      <w:bookmarkStart w:id="132" w:name="_Toc198225018"/>
      <w:r w:rsidRPr="00D525A4">
        <w:rPr>
          <w:rStyle w:val="CharSectno"/>
        </w:rPr>
        <w:t>5</w:t>
      </w:r>
      <w:r w:rsidR="00D525A4">
        <w:rPr>
          <w:rStyle w:val="CharSectno"/>
        </w:rPr>
        <w:noBreakHyphen/>
      </w:r>
      <w:r w:rsidRPr="00D525A4">
        <w:rPr>
          <w:rStyle w:val="CharSectno"/>
        </w:rPr>
        <w:t>26</w:t>
      </w:r>
      <w:r w:rsidR="000E48FD" w:rsidRPr="00D525A4">
        <w:t xml:space="preserve">  Requirements for agreement or arrangement on collection and verification of KYC information</w:t>
      </w:r>
      <w:bookmarkEnd w:id="132"/>
    </w:p>
    <w:p w14:paraId="64018579" w14:textId="51FD952E" w:rsidR="000E48FD" w:rsidRPr="00D525A4" w:rsidRDefault="000E48FD" w:rsidP="000E48FD">
      <w:pPr>
        <w:pStyle w:val="subsection"/>
      </w:pPr>
      <w:r w:rsidRPr="00D525A4">
        <w:tab/>
        <w:t>(1)</w:t>
      </w:r>
      <w:r w:rsidRPr="00D525A4">
        <w:tab/>
        <w:t xml:space="preserve">For the purposes of </w:t>
      </w:r>
      <w:r w:rsidR="0013261E" w:rsidRPr="00D525A4">
        <w:t>paragraph 3</w:t>
      </w:r>
      <w:r w:rsidRPr="00D525A4">
        <w:t xml:space="preserve">7A(1)(b) of the Act, the following requirements are prescribed in relation to an agreement or arrangement of the kind referred to in </w:t>
      </w:r>
      <w:r w:rsidR="0013261E" w:rsidRPr="00D525A4">
        <w:t>paragraph 3</w:t>
      </w:r>
      <w:r w:rsidRPr="00D525A4">
        <w:t>7A(1)(a) of the Act:</w:t>
      </w:r>
    </w:p>
    <w:p w14:paraId="296A5377" w14:textId="77777777" w:rsidR="000E48FD" w:rsidRPr="00D525A4" w:rsidRDefault="000E48FD" w:rsidP="000E48FD">
      <w:pPr>
        <w:pStyle w:val="paragraph"/>
      </w:pPr>
      <w:r w:rsidRPr="00D525A4">
        <w:tab/>
        <w:t>(a)</w:t>
      </w:r>
      <w:r w:rsidRPr="00D525A4">
        <w:tab/>
        <w:t>the other party to the agreement or arrangement must be:</w:t>
      </w:r>
    </w:p>
    <w:p w14:paraId="6F10D445" w14:textId="77777777" w:rsidR="000E48FD" w:rsidRPr="00D525A4" w:rsidRDefault="000E48FD" w:rsidP="000E48FD">
      <w:pPr>
        <w:pStyle w:val="paragraphsub"/>
      </w:pPr>
      <w:r w:rsidRPr="00D525A4">
        <w:tab/>
        <w:t>(i)</w:t>
      </w:r>
      <w:r w:rsidRPr="00D525A4">
        <w:tab/>
        <w:t>a reporting entity; or</w:t>
      </w:r>
    </w:p>
    <w:p w14:paraId="73AC4550" w14:textId="673719F0" w:rsidR="000E48FD" w:rsidRPr="00D525A4" w:rsidRDefault="000E48FD" w:rsidP="000E48FD">
      <w:pPr>
        <w:pStyle w:val="paragraphsub"/>
      </w:pPr>
      <w:r w:rsidRPr="00D525A4">
        <w:tab/>
        <w:t>(ii)</w:t>
      </w:r>
      <w:r w:rsidRPr="00D525A4">
        <w:tab/>
        <w:t xml:space="preserve">a person regulated by one or more laws of a foreign country that give effect to the FATF </w:t>
      </w:r>
      <w:r w:rsidR="00B77985" w:rsidRPr="00D525A4">
        <w:t>R</w:t>
      </w:r>
      <w:r w:rsidRPr="00D525A4">
        <w:t>ecommendations relating to customer due diligence and record</w:t>
      </w:r>
      <w:r w:rsidR="00D525A4">
        <w:noBreakHyphen/>
      </w:r>
      <w:r w:rsidRPr="00D525A4">
        <w:t>keeping;</w:t>
      </w:r>
    </w:p>
    <w:p w14:paraId="32EBFDC8" w14:textId="6D8D9165" w:rsidR="000E48FD" w:rsidRPr="00D525A4" w:rsidRDefault="000E48FD" w:rsidP="000E48FD">
      <w:pPr>
        <w:pStyle w:val="paragraph"/>
      </w:pPr>
      <w:r w:rsidRPr="00D525A4">
        <w:tab/>
        <w:t>(b)</w:t>
      </w:r>
      <w:r w:rsidRPr="00D525A4">
        <w:tab/>
        <w:t xml:space="preserve">the agreement or arrangement must be appropriate to the risks of money laundering, financing of terrorism and proliferation financing that the first entity may reasonably face in providing its designated services, taking into account the matters mentioned in </w:t>
      </w:r>
      <w:r w:rsidR="009F59ED" w:rsidRPr="00D525A4">
        <w:t>subsection (</w:t>
      </w:r>
      <w:r w:rsidRPr="00D525A4">
        <w:t>2) of this section;</w:t>
      </w:r>
    </w:p>
    <w:p w14:paraId="2273B4E7" w14:textId="5741B102" w:rsidR="000E48FD" w:rsidRPr="00D525A4" w:rsidRDefault="000E48FD" w:rsidP="000E48FD">
      <w:pPr>
        <w:pStyle w:val="paragraph"/>
        <w:rPr>
          <w:i/>
        </w:rPr>
      </w:pPr>
      <w:r w:rsidRPr="00D525A4">
        <w:tab/>
        <w:t>(c)</w:t>
      </w:r>
      <w:r w:rsidRPr="00D525A4">
        <w:tab/>
        <w:t xml:space="preserve">the agreement or arrangement must enable the first entity to obtain all of the KYC information collected by the other person in accordance with </w:t>
      </w:r>
      <w:r w:rsidR="009F59ED" w:rsidRPr="00D525A4">
        <w:t>paragraph 2</w:t>
      </w:r>
      <w:r w:rsidRPr="00D525A4">
        <w:t>8(3)(c) of the Act:</w:t>
      </w:r>
    </w:p>
    <w:p w14:paraId="4BEFD430" w14:textId="77777777" w:rsidR="000E48FD" w:rsidRPr="00D525A4" w:rsidRDefault="000E48FD" w:rsidP="000E48FD">
      <w:pPr>
        <w:pStyle w:val="paragraphsub"/>
      </w:pPr>
      <w:r w:rsidRPr="00D525A4">
        <w:tab/>
        <w:t>(i)</w:t>
      </w:r>
      <w:r w:rsidRPr="00D525A4">
        <w:tab/>
        <w:t>before the first entity commences to provide a designated service; or</w:t>
      </w:r>
    </w:p>
    <w:p w14:paraId="4AAC2036" w14:textId="77B6A657" w:rsidR="000E48FD" w:rsidRPr="00D525A4" w:rsidRDefault="000E48FD" w:rsidP="000E48FD">
      <w:pPr>
        <w:pStyle w:val="paragraphsub"/>
      </w:pPr>
      <w:r w:rsidRPr="00D525A4">
        <w:tab/>
        <w:t>(ii)</w:t>
      </w:r>
      <w:r w:rsidRPr="00D525A4">
        <w:tab/>
        <w:t xml:space="preserve">if </w:t>
      </w:r>
      <w:r w:rsidR="0010391B" w:rsidRPr="00D525A4">
        <w:t>section 2</w:t>
      </w:r>
      <w:r w:rsidRPr="00D525A4">
        <w:t xml:space="preserve">9 of the Act applies to the provision of a designated service—within the period mentioned in </w:t>
      </w:r>
      <w:r w:rsidR="009F59ED" w:rsidRPr="00D525A4">
        <w:t>paragraph 2</w:t>
      </w:r>
      <w:r w:rsidRPr="00D525A4">
        <w:t>9(c) of the Act;</w:t>
      </w:r>
    </w:p>
    <w:p w14:paraId="485C8B3D" w14:textId="7FA8CC11" w:rsidR="000E48FD" w:rsidRPr="00D525A4" w:rsidRDefault="000E48FD" w:rsidP="000E48FD">
      <w:pPr>
        <w:pStyle w:val="paragraph"/>
      </w:pPr>
      <w:r w:rsidRPr="00D525A4">
        <w:tab/>
        <w:t>(d)</w:t>
      </w:r>
      <w:r w:rsidRPr="00D525A4">
        <w:tab/>
        <w:t xml:space="preserve">the agreement or arrangement must enable the first entity to obtain copies of the data used by the other person to verify KYC information in accordance with </w:t>
      </w:r>
      <w:r w:rsidR="009F59ED" w:rsidRPr="00D525A4">
        <w:t>paragraph 2</w:t>
      </w:r>
      <w:r w:rsidRPr="00D525A4">
        <w:t>8(3)(d) of the Act immediately or as soon as practicable following a request from the first entity;</w:t>
      </w:r>
    </w:p>
    <w:p w14:paraId="215671E9" w14:textId="1DEE3985" w:rsidR="000E48FD" w:rsidRPr="00D525A4" w:rsidRDefault="000E48FD" w:rsidP="000E48FD">
      <w:pPr>
        <w:pStyle w:val="paragraph"/>
        <w:rPr>
          <w:iCs/>
        </w:rPr>
      </w:pPr>
      <w:r w:rsidRPr="00D525A4">
        <w:tab/>
        <w:t>(e)</w:t>
      </w:r>
      <w:r w:rsidRPr="00D525A4">
        <w:tab/>
        <w:t>the agreement or arrangement must document the responsibilities of each party, including responsibilities for record</w:t>
      </w:r>
      <w:r w:rsidR="00D525A4">
        <w:noBreakHyphen/>
      </w:r>
      <w:r w:rsidRPr="00D525A4">
        <w:t>keeping.</w:t>
      </w:r>
    </w:p>
    <w:p w14:paraId="0C5CCDD1" w14:textId="40B550AF" w:rsidR="000E48FD" w:rsidRPr="00D525A4" w:rsidRDefault="000E48FD" w:rsidP="000E48FD">
      <w:pPr>
        <w:pStyle w:val="subsection"/>
      </w:pPr>
      <w:r w:rsidRPr="00D525A4">
        <w:tab/>
        <w:t>(2)</w:t>
      </w:r>
      <w:r w:rsidRPr="00D525A4">
        <w:tab/>
        <w:t xml:space="preserve">For the purposes of </w:t>
      </w:r>
      <w:r w:rsidR="009F59ED" w:rsidRPr="00D525A4">
        <w:t>paragraph (</w:t>
      </w:r>
      <w:r w:rsidRPr="00D525A4">
        <w:t>1)(b), the matters are as follows:</w:t>
      </w:r>
    </w:p>
    <w:p w14:paraId="5F507A0E" w14:textId="77777777" w:rsidR="000E48FD" w:rsidRPr="00D525A4" w:rsidRDefault="000E48FD" w:rsidP="000E48FD">
      <w:pPr>
        <w:pStyle w:val="paragraph"/>
      </w:pPr>
      <w:r w:rsidRPr="00D525A4">
        <w:tab/>
        <w:t>(a)</w:t>
      </w:r>
      <w:r w:rsidRPr="00D525A4">
        <w:tab/>
        <w:t>the nature, size and complexity of the other person’s business, including:</w:t>
      </w:r>
    </w:p>
    <w:p w14:paraId="2D674E98" w14:textId="77777777" w:rsidR="000E48FD" w:rsidRPr="00D525A4" w:rsidRDefault="000E48FD" w:rsidP="000E48FD">
      <w:pPr>
        <w:pStyle w:val="paragraphsub"/>
      </w:pPr>
      <w:r w:rsidRPr="00D525A4">
        <w:tab/>
        <w:t>(i)</w:t>
      </w:r>
      <w:r w:rsidRPr="00D525A4">
        <w:tab/>
        <w:t>the products and services offered by the other person, and the delivery channels by which it provides services; and</w:t>
      </w:r>
    </w:p>
    <w:p w14:paraId="6F3ED915" w14:textId="77777777" w:rsidR="000E48FD" w:rsidRPr="00D525A4" w:rsidRDefault="000E48FD" w:rsidP="000E48FD">
      <w:pPr>
        <w:pStyle w:val="paragraphsub"/>
      </w:pPr>
      <w:r w:rsidRPr="00D525A4">
        <w:tab/>
        <w:t>(ii)</w:t>
      </w:r>
      <w:r w:rsidRPr="00D525A4">
        <w:tab/>
        <w:t>the kinds of customers that the other person has;</w:t>
      </w:r>
    </w:p>
    <w:p w14:paraId="591AFFDA" w14:textId="77777777" w:rsidR="000E48FD" w:rsidRPr="00D525A4" w:rsidRDefault="000E48FD" w:rsidP="000E48FD">
      <w:pPr>
        <w:pStyle w:val="paragraph"/>
      </w:pPr>
      <w:r w:rsidRPr="00D525A4">
        <w:tab/>
        <w:t>(b)</w:t>
      </w:r>
      <w:r w:rsidRPr="00D525A4">
        <w:tab/>
        <w:t>the country or countries in which the other person operates or of which the other person is a resident.</w:t>
      </w:r>
    </w:p>
    <w:p w14:paraId="7BD62688" w14:textId="735BA5F8" w:rsidR="000E48FD" w:rsidRPr="00D525A4" w:rsidRDefault="00EC097E" w:rsidP="000E48FD">
      <w:pPr>
        <w:pStyle w:val="ActHead5"/>
      </w:pPr>
      <w:bookmarkStart w:id="133" w:name="_Toc198225019"/>
      <w:r w:rsidRPr="00D525A4">
        <w:rPr>
          <w:rStyle w:val="CharSectno"/>
        </w:rPr>
        <w:t>5</w:t>
      </w:r>
      <w:r w:rsidR="00D525A4">
        <w:rPr>
          <w:rStyle w:val="CharSectno"/>
        </w:rPr>
        <w:noBreakHyphen/>
      </w:r>
      <w:r w:rsidRPr="00D525A4">
        <w:rPr>
          <w:rStyle w:val="CharSectno"/>
        </w:rPr>
        <w:t>27</w:t>
      </w:r>
      <w:r w:rsidR="000E48FD" w:rsidRPr="00D525A4">
        <w:t xml:space="preserve">  Requirements for reliance on collection and verification of KYC information</w:t>
      </w:r>
      <w:bookmarkEnd w:id="133"/>
    </w:p>
    <w:p w14:paraId="61913587" w14:textId="240F99B4" w:rsidR="000E48FD" w:rsidRPr="00D525A4" w:rsidRDefault="000E48FD" w:rsidP="000E48FD">
      <w:pPr>
        <w:pStyle w:val="subsection"/>
      </w:pPr>
      <w:r w:rsidRPr="00D525A4">
        <w:tab/>
      </w:r>
      <w:r w:rsidRPr="00D525A4">
        <w:tab/>
        <w:t xml:space="preserve">For the purposes of </w:t>
      </w:r>
      <w:r w:rsidR="0013261E" w:rsidRPr="00D525A4">
        <w:t>paragraph 3</w:t>
      </w:r>
      <w:r w:rsidRPr="00D525A4">
        <w:t>8(e) of the Act, the following requirements are prescribed:</w:t>
      </w:r>
    </w:p>
    <w:p w14:paraId="1ABF5B48" w14:textId="77777777" w:rsidR="000E48FD" w:rsidRPr="00D525A4" w:rsidRDefault="000E48FD" w:rsidP="000E48FD">
      <w:pPr>
        <w:pStyle w:val="paragraph"/>
      </w:pPr>
      <w:r w:rsidRPr="00D525A4">
        <w:tab/>
        <w:t>(a)</w:t>
      </w:r>
      <w:r w:rsidRPr="00D525A4">
        <w:tab/>
        <w:t>the other person must be:</w:t>
      </w:r>
    </w:p>
    <w:p w14:paraId="3A1D8776" w14:textId="77777777" w:rsidR="000E48FD" w:rsidRPr="00D525A4" w:rsidRDefault="000E48FD" w:rsidP="000E48FD">
      <w:pPr>
        <w:pStyle w:val="paragraphsub"/>
      </w:pPr>
      <w:r w:rsidRPr="00D525A4">
        <w:tab/>
        <w:t>(i)</w:t>
      </w:r>
      <w:r w:rsidRPr="00D525A4">
        <w:tab/>
        <w:t>a reporting entity; or</w:t>
      </w:r>
    </w:p>
    <w:p w14:paraId="19E29D73" w14:textId="00AA920F" w:rsidR="000E48FD" w:rsidRPr="00D525A4" w:rsidRDefault="000E48FD" w:rsidP="000E48FD">
      <w:pPr>
        <w:pStyle w:val="paragraphsub"/>
      </w:pPr>
      <w:r w:rsidRPr="00D525A4">
        <w:lastRenderedPageBreak/>
        <w:tab/>
        <w:t>(ii)</w:t>
      </w:r>
      <w:r w:rsidRPr="00D525A4">
        <w:tab/>
        <w:t xml:space="preserve">a person regulated by one or more laws of a foreign country that give effect to the FATF </w:t>
      </w:r>
      <w:r w:rsidR="00B77985" w:rsidRPr="00D525A4">
        <w:t>R</w:t>
      </w:r>
      <w:r w:rsidRPr="00D525A4">
        <w:t>ecommendations relating to customer due diligence and record</w:t>
      </w:r>
      <w:r w:rsidR="00D525A4">
        <w:noBreakHyphen/>
      </w:r>
      <w:r w:rsidRPr="00D525A4">
        <w:t>keeping;</w:t>
      </w:r>
    </w:p>
    <w:p w14:paraId="25BF079E" w14:textId="77777777" w:rsidR="000E48FD" w:rsidRPr="00D525A4" w:rsidRDefault="000E48FD" w:rsidP="000E48FD">
      <w:pPr>
        <w:pStyle w:val="paragraph"/>
      </w:pPr>
      <w:r w:rsidRPr="00D525A4">
        <w:tab/>
        <w:t>(b)</w:t>
      </w:r>
      <w:r w:rsidRPr="00D525A4">
        <w:tab/>
        <w:t>reliance on that procedure must be appropriate to the risks of money laundering, financing of terrorism and proliferation financing that the first entity may reasonably face in providing its designated services, taking into account:</w:t>
      </w:r>
    </w:p>
    <w:p w14:paraId="2C93ECC6" w14:textId="77777777" w:rsidR="000E48FD" w:rsidRPr="00D525A4" w:rsidRDefault="000E48FD" w:rsidP="000E48FD">
      <w:pPr>
        <w:pStyle w:val="paragraphsub"/>
      </w:pPr>
      <w:r w:rsidRPr="00D525A4">
        <w:tab/>
        <w:t>(i)</w:t>
      </w:r>
      <w:r w:rsidRPr="00D525A4">
        <w:tab/>
        <w:t>the nature, size and complexity of the other person’s business; and</w:t>
      </w:r>
    </w:p>
    <w:p w14:paraId="41EF407F" w14:textId="77777777" w:rsidR="000E48FD" w:rsidRPr="00D525A4" w:rsidRDefault="000E48FD" w:rsidP="000E48FD">
      <w:pPr>
        <w:pStyle w:val="paragraphsub"/>
      </w:pPr>
      <w:r w:rsidRPr="00D525A4">
        <w:tab/>
        <w:t>(ii)</w:t>
      </w:r>
      <w:r w:rsidRPr="00D525A4">
        <w:tab/>
        <w:t>the kinds of services provided by the other person; and</w:t>
      </w:r>
    </w:p>
    <w:p w14:paraId="128A1671" w14:textId="77777777" w:rsidR="000E48FD" w:rsidRPr="00D525A4" w:rsidRDefault="000E48FD" w:rsidP="000E48FD">
      <w:pPr>
        <w:pStyle w:val="paragraphsub"/>
      </w:pPr>
      <w:r w:rsidRPr="00D525A4">
        <w:tab/>
        <w:t>(iii)</w:t>
      </w:r>
      <w:r w:rsidRPr="00D525A4">
        <w:tab/>
        <w:t>the kinds of customers to whom the other person’s services are provided; and</w:t>
      </w:r>
    </w:p>
    <w:p w14:paraId="568B9968" w14:textId="77777777" w:rsidR="000E48FD" w:rsidRPr="00D525A4" w:rsidRDefault="000E48FD" w:rsidP="000E48FD">
      <w:pPr>
        <w:pStyle w:val="paragraphsub"/>
      </w:pPr>
      <w:r w:rsidRPr="00D525A4">
        <w:tab/>
        <w:t>(iv)</w:t>
      </w:r>
      <w:r w:rsidRPr="00D525A4">
        <w:tab/>
        <w:t>the delivery channels by which the other person’s services are provided; and</w:t>
      </w:r>
    </w:p>
    <w:p w14:paraId="44891900" w14:textId="77777777" w:rsidR="000E48FD" w:rsidRPr="00D525A4" w:rsidRDefault="000E48FD" w:rsidP="000E48FD">
      <w:pPr>
        <w:pStyle w:val="paragraphsub"/>
      </w:pPr>
      <w:r w:rsidRPr="00D525A4">
        <w:tab/>
        <w:t>(v)</w:t>
      </w:r>
      <w:r w:rsidRPr="00D525A4">
        <w:tab/>
        <w:t>the level of the risks of money laundering, financing of terrorism and proliferation financing in the country or countries in which the other person operates or of which the other person is a resident;</w:t>
      </w:r>
    </w:p>
    <w:p w14:paraId="5A90F641" w14:textId="4BECCB93" w:rsidR="000E48FD" w:rsidRPr="00D525A4" w:rsidRDefault="000E48FD" w:rsidP="000E48FD">
      <w:pPr>
        <w:pStyle w:val="paragraph"/>
      </w:pPr>
      <w:r w:rsidRPr="00D525A4">
        <w:tab/>
        <w:t>(c)</w:t>
      </w:r>
      <w:r w:rsidRPr="00D525A4">
        <w:tab/>
        <w:t xml:space="preserve">for compliance with </w:t>
      </w:r>
      <w:r w:rsidR="009F59ED" w:rsidRPr="00D525A4">
        <w:t>paragraph 2</w:t>
      </w:r>
      <w:r w:rsidRPr="00D525A4">
        <w:t>8(3)(c) of the Act—the first entity has reasonable grounds to believe that it can obtain all of the KYC information collected by the other person in accordance with that paragraph:</w:t>
      </w:r>
    </w:p>
    <w:p w14:paraId="064412FA" w14:textId="77777777" w:rsidR="000E48FD" w:rsidRPr="00D525A4" w:rsidRDefault="000E48FD" w:rsidP="000E48FD">
      <w:pPr>
        <w:pStyle w:val="paragraphsub"/>
      </w:pPr>
      <w:r w:rsidRPr="00D525A4">
        <w:tab/>
        <w:t>(i)</w:t>
      </w:r>
      <w:r w:rsidRPr="00D525A4">
        <w:tab/>
        <w:t>before the first entity commences to provide a designated service; or</w:t>
      </w:r>
    </w:p>
    <w:p w14:paraId="7C98C1DB" w14:textId="09034FEA" w:rsidR="000E48FD" w:rsidRPr="00D525A4" w:rsidRDefault="000E48FD" w:rsidP="000E48FD">
      <w:pPr>
        <w:pStyle w:val="paragraphsub"/>
      </w:pPr>
      <w:r w:rsidRPr="00D525A4">
        <w:tab/>
        <w:t>(ii)</w:t>
      </w:r>
      <w:r w:rsidRPr="00D525A4">
        <w:tab/>
        <w:t xml:space="preserve">if </w:t>
      </w:r>
      <w:r w:rsidR="0010391B" w:rsidRPr="00D525A4">
        <w:t>section 2</w:t>
      </w:r>
      <w:r w:rsidRPr="00D525A4">
        <w:t xml:space="preserve">9 of the Act applies to the provision of a designated service—within the period mentioned in </w:t>
      </w:r>
      <w:r w:rsidR="009F59ED" w:rsidRPr="00D525A4">
        <w:t>paragraph 2</w:t>
      </w:r>
      <w:r w:rsidRPr="00D525A4">
        <w:t>9(c) of the Act;</w:t>
      </w:r>
    </w:p>
    <w:p w14:paraId="0B51E1E0" w14:textId="073E9014" w:rsidR="000E48FD" w:rsidRPr="00D525A4" w:rsidRDefault="000E48FD" w:rsidP="000E48FD">
      <w:pPr>
        <w:pStyle w:val="paragraph"/>
      </w:pPr>
      <w:r w:rsidRPr="00D525A4">
        <w:tab/>
        <w:t>(d)</w:t>
      </w:r>
      <w:r w:rsidRPr="00D525A4">
        <w:tab/>
        <w:t xml:space="preserve">for compliance with </w:t>
      </w:r>
      <w:r w:rsidR="009F59ED" w:rsidRPr="00D525A4">
        <w:t>paragraph 2</w:t>
      </w:r>
      <w:r w:rsidRPr="00D525A4">
        <w:t>8(3)(d) of the Act—the first entity has reasonable grounds to believe that it can obtain copies of the data used by the other person to verify KYC information in accordance with that paragraph immediately or as soon as practicable following a request from the first entity;</w:t>
      </w:r>
    </w:p>
    <w:p w14:paraId="77A34F69" w14:textId="482239F1" w:rsidR="00C42195" w:rsidRPr="00D525A4" w:rsidRDefault="000E48FD" w:rsidP="002468B3">
      <w:pPr>
        <w:pStyle w:val="paragraph"/>
      </w:pPr>
      <w:r w:rsidRPr="00D525A4">
        <w:tab/>
        <w:t>(e)</w:t>
      </w:r>
      <w:r w:rsidRPr="00D525A4">
        <w:tab/>
        <w:t xml:space="preserve">the first entity documents the reasons for the first entity concluding that the requirements of </w:t>
      </w:r>
      <w:r w:rsidR="0010391B" w:rsidRPr="00D525A4">
        <w:t>paragraphs (</w:t>
      </w:r>
      <w:r w:rsidRPr="00D525A4">
        <w:t xml:space="preserve">b) to (d) </w:t>
      </w:r>
      <w:r w:rsidR="000B6F44" w:rsidRPr="00D525A4">
        <w:t xml:space="preserve">of this section </w:t>
      </w:r>
      <w:r w:rsidRPr="00D525A4">
        <w:t>are met.</w:t>
      </w:r>
    </w:p>
    <w:p w14:paraId="518313A6" w14:textId="1D27B954" w:rsidR="00291129" w:rsidRPr="00D525A4" w:rsidRDefault="00606BBD" w:rsidP="00291129">
      <w:pPr>
        <w:pStyle w:val="ActHead3"/>
        <w:pageBreakBefore/>
      </w:pPr>
      <w:bookmarkStart w:id="134" w:name="_Toc198225020"/>
      <w:r w:rsidRPr="00D525A4">
        <w:rPr>
          <w:rStyle w:val="CharDivNo"/>
        </w:rPr>
        <w:lastRenderedPageBreak/>
        <w:t>Division </w:t>
      </w:r>
      <w:r w:rsidR="00A25E52" w:rsidRPr="00D525A4">
        <w:rPr>
          <w:rStyle w:val="CharDivNo"/>
        </w:rPr>
        <w:t>8</w:t>
      </w:r>
      <w:r w:rsidR="00291129" w:rsidRPr="00D525A4">
        <w:t>—</w:t>
      </w:r>
      <w:r w:rsidR="00291129" w:rsidRPr="00D525A4">
        <w:rPr>
          <w:rStyle w:val="CharDivText"/>
        </w:rPr>
        <w:t>Keep open notices</w:t>
      </w:r>
      <w:bookmarkEnd w:id="134"/>
    </w:p>
    <w:p w14:paraId="560F1A67" w14:textId="6579A52A" w:rsidR="00E907A2" w:rsidRPr="00D525A4" w:rsidRDefault="00EC097E" w:rsidP="001039FE">
      <w:pPr>
        <w:pStyle w:val="ActHead5"/>
      </w:pPr>
      <w:bookmarkStart w:id="135" w:name="_Toc198225021"/>
      <w:r w:rsidRPr="00D525A4">
        <w:rPr>
          <w:rStyle w:val="CharSectno"/>
        </w:rPr>
        <w:t>5</w:t>
      </w:r>
      <w:r w:rsidR="00D525A4">
        <w:rPr>
          <w:rStyle w:val="CharSectno"/>
        </w:rPr>
        <w:noBreakHyphen/>
      </w:r>
      <w:r w:rsidRPr="00D525A4">
        <w:rPr>
          <w:rStyle w:val="CharSectno"/>
        </w:rPr>
        <w:t>28</w:t>
      </w:r>
      <w:r w:rsidR="00E907A2" w:rsidRPr="00D525A4">
        <w:t xml:space="preserve">  Senior member of agency</w:t>
      </w:r>
      <w:r w:rsidR="0011143C" w:rsidRPr="00D525A4">
        <w:t>—superintendent</w:t>
      </w:r>
      <w:bookmarkEnd w:id="135"/>
    </w:p>
    <w:p w14:paraId="3A198EF8" w14:textId="09E5A0AA" w:rsidR="00E907A2" w:rsidRPr="00D525A4" w:rsidRDefault="00E907A2" w:rsidP="00E907A2">
      <w:pPr>
        <w:pStyle w:val="subsection"/>
      </w:pPr>
      <w:r w:rsidRPr="00D525A4">
        <w:tab/>
      </w:r>
      <w:r w:rsidRPr="00D525A4">
        <w:tab/>
        <w:t xml:space="preserve">For the purposes of </w:t>
      </w:r>
      <w:r w:rsidR="0013261E" w:rsidRPr="00D525A4">
        <w:t>subparagraph 3</w:t>
      </w:r>
      <w:r w:rsidRPr="00D525A4">
        <w:t>9B(3)(c)(i</w:t>
      </w:r>
      <w:r w:rsidR="004C1CDA" w:rsidRPr="00D525A4">
        <w:t>i</w:t>
      </w:r>
      <w:r w:rsidRPr="00D525A4">
        <w:t xml:space="preserve">i) of the Act, the position of superintendent of </w:t>
      </w:r>
      <w:r w:rsidR="0011143C" w:rsidRPr="00D525A4">
        <w:t>either of the following</w:t>
      </w:r>
      <w:r w:rsidRPr="00D525A4">
        <w:t xml:space="preserve"> is prescribed</w:t>
      </w:r>
      <w:r w:rsidR="0011143C" w:rsidRPr="00D525A4">
        <w:t>:</w:t>
      </w:r>
    </w:p>
    <w:p w14:paraId="279D7914" w14:textId="4277D0CC" w:rsidR="0011143C" w:rsidRPr="00D525A4" w:rsidRDefault="0011143C" w:rsidP="0011143C">
      <w:pPr>
        <w:pStyle w:val="paragraph"/>
      </w:pPr>
      <w:r w:rsidRPr="00D525A4">
        <w:tab/>
        <w:t>(a)</w:t>
      </w:r>
      <w:r w:rsidRPr="00D525A4">
        <w:tab/>
        <w:t>the Australian Federal Police;</w:t>
      </w:r>
    </w:p>
    <w:p w14:paraId="0DB37AA9" w14:textId="36A421CC" w:rsidR="0011143C" w:rsidRPr="00D525A4" w:rsidRDefault="0011143C" w:rsidP="0011143C">
      <w:pPr>
        <w:pStyle w:val="paragraph"/>
      </w:pPr>
      <w:r w:rsidRPr="00D525A4">
        <w:tab/>
        <w:t>(b)</w:t>
      </w:r>
      <w:r w:rsidRPr="00D525A4">
        <w:tab/>
        <w:t>the police force or police service of a State or the Northern Territory.</w:t>
      </w:r>
    </w:p>
    <w:p w14:paraId="2C95B7D9" w14:textId="6FFDF744" w:rsidR="001039FE" w:rsidRPr="00D525A4" w:rsidRDefault="00EC097E" w:rsidP="001039FE">
      <w:pPr>
        <w:pStyle w:val="ActHead5"/>
      </w:pPr>
      <w:bookmarkStart w:id="136" w:name="_Toc198225022"/>
      <w:r w:rsidRPr="00D525A4">
        <w:rPr>
          <w:rStyle w:val="CharSectno"/>
        </w:rPr>
        <w:t>5</w:t>
      </w:r>
      <w:r w:rsidR="00D525A4">
        <w:rPr>
          <w:rStyle w:val="CharSectno"/>
        </w:rPr>
        <w:noBreakHyphen/>
      </w:r>
      <w:r w:rsidRPr="00D525A4">
        <w:rPr>
          <w:rStyle w:val="CharSectno"/>
        </w:rPr>
        <w:t>29</w:t>
      </w:r>
      <w:r w:rsidR="001039FE" w:rsidRPr="00D525A4">
        <w:t xml:space="preserve">  Form of keep open notice</w:t>
      </w:r>
      <w:bookmarkEnd w:id="136"/>
    </w:p>
    <w:p w14:paraId="06BAD2EE" w14:textId="6FA70406" w:rsidR="001039FE" w:rsidRPr="00D525A4" w:rsidRDefault="001039FE" w:rsidP="001039FE">
      <w:pPr>
        <w:pStyle w:val="subsection"/>
      </w:pPr>
      <w:r w:rsidRPr="00D525A4">
        <w:tab/>
      </w:r>
      <w:r w:rsidRPr="00D525A4">
        <w:tab/>
        <w:t xml:space="preserve">For the purposes of </w:t>
      </w:r>
      <w:r w:rsidR="0013261E" w:rsidRPr="00D525A4">
        <w:t>paragraph 3</w:t>
      </w:r>
      <w:r w:rsidRPr="00D525A4">
        <w:t xml:space="preserve">9B(5)(a) of the Act, Form 1 in </w:t>
      </w:r>
      <w:r w:rsidR="00606BBD" w:rsidRPr="00D525A4">
        <w:t>Schedule 1</w:t>
      </w:r>
      <w:r w:rsidRPr="00D525A4">
        <w:t xml:space="preserve"> to this instrument is prescribed as the form for a keep open notice.</w:t>
      </w:r>
    </w:p>
    <w:p w14:paraId="483AB8CC" w14:textId="2863B776" w:rsidR="001039FE" w:rsidRPr="00D525A4" w:rsidRDefault="00EC097E" w:rsidP="001039FE">
      <w:pPr>
        <w:pStyle w:val="ActHead5"/>
      </w:pPr>
      <w:bookmarkStart w:id="137" w:name="_Toc198225023"/>
      <w:r w:rsidRPr="00D525A4">
        <w:rPr>
          <w:rStyle w:val="CharSectno"/>
        </w:rPr>
        <w:t>5</w:t>
      </w:r>
      <w:r w:rsidR="00D525A4">
        <w:rPr>
          <w:rStyle w:val="CharSectno"/>
        </w:rPr>
        <w:noBreakHyphen/>
      </w:r>
      <w:r w:rsidRPr="00D525A4">
        <w:rPr>
          <w:rStyle w:val="CharSectno"/>
        </w:rPr>
        <w:t>30</w:t>
      </w:r>
      <w:r w:rsidR="001039FE" w:rsidRPr="00D525A4">
        <w:t xml:space="preserve">  Information and documents required to be contained in or to accompany keep open notice</w:t>
      </w:r>
      <w:bookmarkEnd w:id="137"/>
    </w:p>
    <w:p w14:paraId="0FD036C4" w14:textId="742B6A4B" w:rsidR="001039FE" w:rsidRPr="00D525A4" w:rsidRDefault="001039FE" w:rsidP="001039FE">
      <w:pPr>
        <w:pStyle w:val="subsection"/>
      </w:pPr>
      <w:r w:rsidRPr="00D525A4">
        <w:tab/>
        <w:t>(1)</w:t>
      </w:r>
      <w:r w:rsidRPr="00D525A4">
        <w:tab/>
        <w:t xml:space="preserve">For the purposes of </w:t>
      </w:r>
      <w:r w:rsidR="0013261E" w:rsidRPr="00D525A4">
        <w:t>paragraph 3</w:t>
      </w:r>
      <w:r w:rsidRPr="00D525A4">
        <w:t xml:space="preserve">9B(5)(b) of the Act, this section sets out the information required to be contained in, and the documents required to accompany, a keep open notice issued by a senior member of an agency mentioned in </w:t>
      </w:r>
      <w:r w:rsidR="00606BBD" w:rsidRPr="00D525A4">
        <w:t>sub</w:t>
      </w:r>
      <w:r w:rsidR="0013261E" w:rsidRPr="00D525A4">
        <w:t>section 3</w:t>
      </w:r>
      <w:r w:rsidRPr="00D525A4">
        <w:t>9B(4) of the Act to a reporting entity.</w:t>
      </w:r>
    </w:p>
    <w:p w14:paraId="41D1A9B6" w14:textId="77777777" w:rsidR="001039FE" w:rsidRPr="00D525A4" w:rsidRDefault="001039FE" w:rsidP="001039FE">
      <w:pPr>
        <w:pStyle w:val="subsection"/>
      </w:pPr>
      <w:r w:rsidRPr="00D525A4">
        <w:tab/>
        <w:t>(2)</w:t>
      </w:r>
      <w:r w:rsidRPr="00D525A4">
        <w:tab/>
        <w:t>The keep open notice must contain the following information:</w:t>
      </w:r>
    </w:p>
    <w:p w14:paraId="236880EA" w14:textId="77777777" w:rsidR="001039FE" w:rsidRPr="00D525A4" w:rsidRDefault="001039FE" w:rsidP="001039FE">
      <w:pPr>
        <w:pStyle w:val="paragraph"/>
      </w:pPr>
      <w:r w:rsidRPr="00D525A4">
        <w:tab/>
        <w:t>(a)</w:t>
      </w:r>
      <w:r w:rsidRPr="00D525A4">
        <w:tab/>
        <w:t>the name of the agency;</w:t>
      </w:r>
    </w:p>
    <w:p w14:paraId="7B2643A8" w14:textId="77777777" w:rsidR="001039FE" w:rsidRPr="00D525A4" w:rsidRDefault="001039FE" w:rsidP="001039FE">
      <w:pPr>
        <w:pStyle w:val="paragraph"/>
      </w:pPr>
      <w:r w:rsidRPr="00D525A4">
        <w:tab/>
        <w:t>(b)</w:t>
      </w:r>
      <w:r w:rsidRPr="00D525A4">
        <w:tab/>
      </w:r>
      <w:bookmarkStart w:id="138" w:name="_Hlk181617914"/>
      <w:r w:rsidRPr="00D525A4">
        <w:t>the senior member’s full name and position</w:t>
      </w:r>
      <w:bookmarkEnd w:id="138"/>
      <w:r w:rsidRPr="00D525A4">
        <w:t>;</w:t>
      </w:r>
    </w:p>
    <w:p w14:paraId="05FE7C25" w14:textId="77777777" w:rsidR="001039FE" w:rsidRPr="00D525A4" w:rsidRDefault="001039FE" w:rsidP="001039FE">
      <w:pPr>
        <w:pStyle w:val="paragraph"/>
      </w:pPr>
      <w:r w:rsidRPr="00D525A4">
        <w:tab/>
        <w:t>(c)</w:t>
      </w:r>
      <w:r w:rsidRPr="00D525A4">
        <w:tab/>
        <w:t>the full name of the reporting entity;</w:t>
      </w:r>
    </w:p>
    <w:p w14:paraId="0EED5184" w14:textId="77777777" w:rsidR="001039FE" w:rsidRPr="00D525A4" w:rsidRDefault="001039FE" w:rsidP="001039FE">
      <w:pPr>
        <w:pStyle w:val="paragraph"/>
      </w:pPr>
      <w:r w:rsidRPr="00D525A4">
        <w:tab/>
        <w:t>(d)</w:t>
      </w:r>
      <w:r w:rsidRPr="00D525A4">
        <w:tab/>
        <w:t>for each customer in relation to whom the keep open notice is issued:</w:t>
      </w:r>
    </w:p>
    <w:p w14:paraId="415CDFAA" w14:textId="77777777" w:rsidR="001039FE" w:rsidRPr="00D525A4" w:rsidRDefault="001039FE" w:rsidP="001039FE">
      <w:pPr>
        <w:pStyle w:val="paragraphsub"/>
      </w:pPr>
      <w:r w:rsidRPr="00D525A4">
        <w:tab/>
        <w:t>(i)</w:t>
      </w:r>
      <w:r w:rsidRPr="00D525A4">
        <w:tab/>
        <w:t>the customer’s full name; and</w:t>
      </w:r>
    </w:p>
    <w:p w14:paraId="22FD44C4" w14:textId="026D8F3D" w:rsidR="001039FE" w:rsidRPr="00D525A4" w:rsidRDefault="001039FE" w:rsidP="001039FE">
      <w:pPr>
        <w:pStyle w:val="paragraphsub"/>
      </w:pPr>
      <w:r w:rsidRPr="00D525A4">
        <w:tab/>
        <w:t>(ii)</w:t>
      </w:r>
      <w:r w:rsidRPr="00D525A4">
        <w:tab/>
        <w:t>the customer’s date of birth, or an ACN or ABN of the customer</w:t>
      </w:r>
      <w:r w:rsidR="00723EDC" w:rsidRPr="00D525A4">
        <w:t xml:space="preserve"> (</w:t>
      </w:r>
      <w:r w:rsidRPr="00D525A4">
        <w:t>if known</w:t>
      </w:r>
      <w:r w:rsidR="00723EDC" w:rsidRPr="00D525A4">
        <w:t>)</w:t>
      </w:r>
      <w:r w:rsidRPr="00D525A4">
        <w:t>; and</w:t>
      </w:r>
    </w:p>
    <w:p w14:paraId="6943DC08" w14:textId="77777777" w:rsidR="001039FE" w:rsidRPr="00D525A4" w:rsidRDefault="001039FE" w:rsidP="001039FE">
      <w:pPr>
        <w:pStyle w:val="paragraphsub"/>
      </w:pPr>
      <w:r w:rsidRPr="00D525A4">
        <w:tab/>
        <w:t>(iii)</w:t>
      </w:r>
      <w:r w:rsidRPr="00D525A4">
        <w:tab/>
        <w:t>any other known details of the customer that the senior member considers are necessary to provide to assist the reporting entity to identify the customer;</w:t>
      </w:r>
    </w:p>
    <w:p w14:paraId="6B5D0E06" w14:textId="6352C78B" w:rsidR="001039FE" w:rsidRPr="00D525A4" w:rsidRDefault="001039FE" w:rsidP="001039FE">
      <w:pPr>
        <w:pStyle w:val="paragraph"/>
      </w:pPr>
      <w:r w:rsidRPr="00D525A4">
        <w:tab/>
        <w:t>(e)</w:t>
      </w:r>
      <w:r w:rsidRPr="00D525A4">
        <w:tab/>
        <w:t xml:space="preserve">a day specified for the purposes of </w:t>
      </w:r>
      <w:r w:rsidR="0013261E" w:rsidRPr="00D525A4">
        <w:t>paragraph 3</w:t>
      </w:r>
      <w:r w:rsidRPr="00D525A4">
        <w:t>9B(6)(a) of the Act as the day on which the notice commences;</w:t>
      </w:r>
    </w:p>
    <w:p w14:paraId="6BEFE454" w14:textId="77777777" w:rsidR="001039FE" w:rsidRPr="00D525A4" w:rsidRDefault="001039FE" w:rsidP="001039FE">
      <w:pPr>
        <w:pStyle w:val="paragraph"/>
      </w:pPr>
      <w:r w:rsidRPr="00D525A4">
        <w:tab/>
        <w:t>(f)</w:t>
      </w:r>
      <w:r w:rsidRPr="00D525A4">
        <w:tab/>
        <w:t>a declaration by the senior member stating that the senior member reasonably believe</w:t>
      </w:r>
      <w:r w:rsidR="00606BBD" w:rsidRPr="00D525A4">
        <w:t>s</w:t>
      </w:r>
      <w:r w:rsidRPr="00D525A4">
        <w:t xml:space="preserve"> that the provision of a designated service by the reporting entity to the customer or customers would assist in the investigation by the agency of a serious offence.</w:t>
      </w:r>
    </w:p>
    <w:p w14:paraId="6D1756EF" w14:textId="1FF106A8" w:rsidR="001039FE" w:rsidRPr="00D525A4" w:rsidRDefault="001039FE" w:rsidP="001039FE">
      <w:pPr>
        <w:pStyle w:val="notetext"/>
      </w:pPr>
      <w:r w:rsidRPr="00D525A4">
        <w:t>Note:</w:t>
      </w:r>
      <w:r w:rsidRPr="00D525A4">
        <w:tab/>
        <w:t xml:space="preserve">For </w:t>
      </w:r>
      <w:r w:rsidR="0013261E" w:rsidRPr="00D525A4">
        <w:t>sub</w:t>
      </w:r>
      <w:r w:rsidR="009F59ED" w:rsidRPr="00D525A4">
        <w:t>paragraph (</w:t>
      </w:r>
      <w:r w:rsidRPr="00D525A4">
        <w:t>d)(iii), details that may assist the reporting entity to identify the customer could include:</w:t>
      </w:r>
    </w:p>
    <w:p w14:paraId="336F08BC" w14:textId="77777777" w:rsidR="001039FE" w:rsidRPr="00D525A4" w:rsidRDefault="001039FE" w:rsidP="001039FE">
      <w:pPr>
        <w:pStyle w:val="notepara"/>
      </w:pPr>
      <w:r w:rsidRPr="00D525A4">
        <w:t>(a)</w:t>
      </w:r>
      <w:r w:rsidRPr="00D525A4">
        <w:tab/>
        <w:t>the customer’s address; and</w:t>
      </w:r>
    </w:p>
    <w:p w14:paraId="45AEDC27" w14:textId="74964A85" w:rsidR="001039FE" w:rsidRPr="00D525A4" w:rsidRDefault="001039FE" w:rsidP="001039FE">
      <w:pPr>
        <w:pStyle w:val="notepara"/>
      </w:pPr>
      <w:r w:rsidRPr="00D525A4">
        <w:t>(b)</w:t>
      </w:r>
      <w:r w:rsidRPr="00D525A4">
        <w:tab/>
        <w:t>bank account details of the customer</w:t>
      </w:r>
      <w:r w:rsidR="00831B53" w:rsidRPr="00D525A4">
        <w:t>; and</w:t>
      </w:r>
    </w:p>
    <w:p w14:paraId="587BA898" w14:textId="56F5FA8F" w:rsidR="00831B53" w:rsidRPr="00D525A4" w:rsidRDefault="00831B53" w:rsidP="001039FE">
      <w:pPr>
        <w:pStyle w:val="notepara"/>
      </w:pPr>
      <w:r w:rsidRPr="00D525A4">
        <w:t>(c)</w:t>
      </w:r>
      <w:r w:rsidRPr="00D525A4">
        <w:tab/>
      </w:r>
      <w:r w:rsidR="0085758A" w:rsidRPr="00D525A4">
        <w:t>the wallet</w:t>
      </w:r>
      <w:r w:rsidR="00FE55EE" w:rsidRPr="00D525A4">
        <w:t xml:space="preserve"> address</w:t>
      </w:r>
      <w:r w:rsidR="00D955D6" w:rsidRPr="00D525A4">
        <w:t xml:space="preserve"> </w:t>
      </w:r>
      <w:r w:rsidR="00980268" w:rsidRPr="00D525A4">
        <w:t>for</w:t>
      </w:r>
      <w:r w:rsidR="00834168" w:rsidRPr="00D525A4">
        <w:t xml:space="preserve"> the customer’s virtual asset</w:t>
      </w:r>
      <w:r w:rsidR="00FE55EE" w:rsidRPr="00D525A4">
        <w:t xml:space="preserve"> holdings</w:t>
      </w:r>
      <w:r w:rsidR="0085758A" w:rsidRPr="00D525A4">
        <w:t>.</w:t>
      </w:r>
    </w:p>
    <w:p w14:paraId="6040A56C" w14:textId="77777777" w:rsidR="001039FE" w:rsidRPr="00D525A4" w:rsidRDefault="001039FE" w:rsidP="001039FE">
      <w:pPr>
        <w:pStyle w:val="subsection"/>
      </w:pPr>
      <w:r w:rsidRPr="00D525A4">
        <w:tab/>
      </w:r>
      <w:bookmarkStart w:id="139" w:name="_Hlk182928078"/>
      <w:r w:rsidRPr="00D525A4">
        <w:t>(3)</w:t>
      </w:r>
      <w:r w:rsidRPr="00D525A4">
        <w:tab/>
        <w:t>The keep open notice must be accompanied by any documents that the senior member considers are necessary to provide to assist the reporting entity to identify the customer or customers.</w:t>
      </w:r>
    </w:p>
    <w:p w14:paraId="2B171799" w14:textId="7359A17D" w:rsidR="001039FE" w:rsidRPr="00D525A4" w:rsidRDefault="00EC097E" w:rsidP="001039FE">
      <w:pPr>
        <w:pStyle w:val="ActHead5"/>
      </w:pPr>
      <w:bookmarkStart w:id="140" w:name="_Toc198225024"/>
      <w:bookmarkEnd w:id="139"/>
      <w:r w:rsidRPr="00D525A4">
        <w:rPr>
          <w:rStyle w:val="CharSectno"/>
        </w:rPr>
        <w:lastRenderedPageBreak/>
        <w:t>5</w:t>
      </w:r>
      <w:r w:rsidR="00D525A4">
        <w:rPr>
          <w:rStyle w:val="CharSectno"/>
        </w:rPr>
        <w:noBreakHyphen/>
      </w:r>
      <w:r w:rsidRPr="00D525A4">
        <w:rPr>
          <w:rStyle w:val="CharSectno"/>
        </w:rPr>
        <w:t>31</w:t>
      </w:r>
      <w:r w:rsidR="001039FE" w:rsidRPr="00D525A4">
        <w:t xml:space="preserve">  Extension notices</w:t>
      </w:r>
      <w:bookmarkEnd w:id="140"/>
    </w:p>
    <w:p w14:paraId="2FF1099F" w14:textId="1DD042E4" w:rsidR="001039FE" w:rsidRPr="00D525A4" w:rsidRDefault="001039FE" w:rsidP="001039FE">
      <w:pPr>
        <w:pStyle w:val="subsection"/>
      </w:pPr>
      <w:r w:rsidRPr="00D525A4">
        <w:tab/>
      </w:r>
      <w:r w:rsidRPr="00D525A4">
        <w:tab/>
        <w:t xml:space="preserve">For the purposes of </w:t>
      </w:r>
      <w:r w:rsidR="00606BBD" w:rsidRPr="00D525A4">
        <w:t>sub</w:t>
      </w:r>
      <w:r w:rsidR="0013261E" w:rsidRPr="00D525A4">
        <w:t>section 3</w:t>
      </w:r>
      <w:r w:rsidRPr="00D525A4">
        <w:t xml:space="preserve">9B(7) of the Act, Form 2 in </w:t>
      </w:r>
      <w:r w:rsidR="00606BBD" w:rsidRPr="00D525A4">
        <w:t>Schedule 1</w:t>
      </w:r>
      <w:r w:rsidRPr="00D525A4">
        <w:t xml:space="preserve"> to this instrument is prescribed as the form for an extension notice.</w:t>
      </w:r>
    </w:p>
    <w:p w14:paraId="4D0AE5B6" w14:textId="0668E774" w:rsidR="001039FE" w:rsidRPr="00D525A4" w:rsidRDefault="00EC097E" w:rsidP="001039FE">
      <w:pPr>
        <w:pStyle w:val="ActHead5"/>
      </w:pPr>
      <w:bookmarkStart w:id="141" w:name="_Toc198225025"/>
      <w:r w:rsidRPr="00D525A4">
        <w:rPr>
          <w:rStyle w:val="CharSectno"/>
        </w:rPr>
        <w:t>5</w:t>
      </w:r>
      <w:r w:rsidR="00D525A4">
        <w:rPr>
          <w:rStyle w:val="CharSectno"/>
        </w:rPr>
        <w:noBreakHyphen/>
      </w:r>
      <w:r w:rsidRPr="00D525A4">
        <w:rPr>
          <w:rStyle w:val="CharSectno"/>
        </w:rPr>
        <w:t>32</w:t>
      </w:r>
      <w:r w:rsidR="001039FE" w:rsidRPr="00D525A4">
        <w:t xml:space="preserve">  Further extension application</w:t>
      </w:r>
      <w:bookmarkEnd w:id="141"/>
    </w:p>
    <w:p w14:paraId="361B65DD" w14:textId="16FDD85E" w:rsidR="00291129" w:rsidRPr="00D525A4" w:rsidRDefault="001039FE" w:rsidP="001039FE">
      <w:pPr>
        <w:pStyle w:val="subsection"/>
      </w:pPr>
      <w:r w:rsidRPr="00D525A4">
        <w:tab/>
      </w:r>
      <w:r w:rsidRPr="00D525A4">
        <w:tab/>
        <w:t xml:space="preserve">For the purposes of </w:t>
      </w:r>
      <w:r w:rsidR="0013261E" w:rsidRPr="00D525A4">
        <w:t>paragraph 3</w:t>
      </w:r>
      <w:r w:rsidRPr="00D525A4">
        <w:t xml:space="preserve">9B(8)(b) of the Act, Form 3 in </w:t>
      </w:r>
      <w:r w:rsidR="00606BBD" w:rsidRPr="00D525A4">
        <w:t>Schedule 1</w:t>
      </w:r>
      <w:r w:rsidRPr="00D525A4">
        <w:t xml:space="preserve"> to this instrument is prescribed as the form of an application to the AUSTRAC CEO for a notice under </w:t>
      </w:r>
      <w:r w:rsidR="0013261E" w:rsidRPr="00D525A4">
        <w:t>paragraph 3</w:t>
      </w:r>
      <w:r w:rsidRPr="00D525A4">
        <w:t>9B(8)(d).</w:t>
      </w:r>
    </w:p>
    <w:p w14:paraId="541F9498" w14:textId="58653053" w:rsidR="00B42B42" w:rsidRPr="00D525A4" w:rsidRDefault="0013261E" w:rsidP="00693FC4">
      <w:pPr>
        <w:pStyle w:val="ActHead2"/>
        <w:pageBreakBefore/>
      </w:pPr>
      <w:bookmarkStart w:id="142" w:name="_Toc198225026"/>
      <w:r w:rsidRPr="00D525A4">
        <w:rPr>
          <w:rStyle w:val="CharPartNo"/>
        </w:rPr>
        <w:lastRenderedPageBreak/>
        <w:t>Part 6</w:t>
      </w:r>
      <w:r w:rsidR="00D86399" w:rsidRPr="00D525A4">
        <w:t>—</w:t>
      </w:r>
      <w:r w:rsidR="00D86399" w:rsidRPr="00D525A4">
        <w:rPr>
          <w:rStyle w:val="CharPartText"/>
        </w:rPr>
        <w:t>Correspondent banking</w:t>
      </w:r>
      <w:bookmarkEnd w:id="142"/>
    </w:p>
    <w:p w14:paraId="5A9465BB" w14:textId="3DB6B6DE" w:rsidR="00E5103B" w:rsidRPr="00D525A4" w:rsidRDefault="00270E8B" w:rsidP="00E5103B">
      <w:pPr>
        <w:pStyle w:val="ActHead3"/>
      </w:pPr>
      <w:bookmarkStart w:id="143" w:name="_Toc198225027"/>
      <w:r w:rsidRPr="00D525A4">
        <w:rPr>
          <w:rStyle w:val="CharDivNo"/>
        </w:rPr>
        <w:t>Division 1</w:t>
      </w:r>
      <w:r w:rsidR="00E5103B" w:rsidRPr="00D525A4">
        <w:t>—</w:t>
      </w:r>
      <w:r w:rsidR="00793D96" w:rsidRPr="00D525A4">
        <w:rPr>
          <w:rStyle w:val="CharDivText"/>
        </w:rPr>
        <w:t>D</w:t>
      </w:r>
      <w:r w:rsidR="000969B1" w:rsidRPr="00D525A4">
        <w:rPr>
          <w:rStyle w:val="CharDivText"/>
        </w:rPr>
        <w:t>ue diligence assessment</w:t>
      </w:r>
      <w:r w:rsidR="00403C1B" w:rsidRPr="00D525A4">
        <w:rPr>
          <w:rStyle w:val="CharDivText"/>
        </w:rPr>
        <w:t xml:space="preserve"> for entry into correspondent banking relationship</w:t>
      </w:r>
      <w:bookmarkEnd w:id="143"/>
    </w:p>
    <w:p w14:paraId="0A0FA0F6" w14:textId="103844A2" w:rsidR="00693FC4" w:rsidRPr="00D525A4" w:rsidRDefault="00EC097E" w:rsidP="00693FC4">
      <w:pPr>
        <w:pStyle w:val="ActHead5"/>
      </w:pPr>
      <w:bookmarkStart w:id="144" w:name="_Toc198225028"/>
      <w:r w:rsidRPr="00D525A4">
        <w:rPr>
          <w:rStyle w:val="CharSectno"/>
        </w:rPr>
        <w:t>6</w:t>
      </w:r>
      <w:r w:rsidR="00D525A4">
        <w:rPr>
          <w:rStyle w:val="CharSectno"/>
        </w:rPr>
        <w:noBreakHyphen/>
      </w:r>
      <w:r w:rsidRPr="00D525A4">
        <w:rPr>
          <w:rStyle w:val="CharSectno"/>
        </w:rPr>
        <w:t>1</w:t>
      </w:r>
      <w:r w:rsidR="00693FC4" w:rsidRPr="00D525A4">
        <w:t xml:space="preserve">  </w:t>
      </w:r>
      <w:r w:rsidR="00A46813" w:rsidRPr="00D525A4">
        <w:t xml:space="preserve">Requirements for </w:t>
      </w:r>
      <w:r w:rsidR="00466884" w:rsidRPr="00D525A4">
        <w:t>due diligence assessment</w:t>
      </w:r>
      <w:bookmarkEnd w:id="144"/>
    </w:p>
    <w:p w14:paraId="149EB1AC" w14:textId="725DC993" w:rsidR="00693FC4" w:rsidRPr="00D525A4" w:rsidRDefault="00693FC4" w:rsidP="00931C44">
      <w:pPr>
        <w:pStyle w:val="subsection"/>
      </w:pPr>
      <w:r w:rsidRPr="00D525A4">
        <w:tab/>
        <w:t>(1)</w:t>
      </w:r>
      <w:r w:rsidRPr="00D525A4">
        <w:tab/>
      </w:r>
      <w:r w:rsidR="000636C9" w:rsidRPr="00D525A4">
        <w:t xml:space="preserve">For the purposes of </w:t>
      </w:r>
      <w:r w:rsidR="0056097B" w:rsidRPr="00D525A4">
        <w:t>paragraph 9</w:t>
      </w:r>
      <w:r w:rsidRPr="00D525A4">
        <w:t>6(1)</w:t>
      </w:r>
      <w:r w:rsidR="00321F0F" w:rsidRPr="00D525A4">
        <w:t xml:space="preserve">(a) </w:t>
      </w:r>
      <w:r w:rsidRPr="00D525A4">
        <w:t>of the Act</w:t>
      </w:r>
      <w:r w:rsidR="00361431" w:rsidRPr="00D525A4">
        <w:t xml:space="preserve">, this section </w:t>
      </w:r>
      <w:r w:rsidR="00214264" w:rsidRPr="00D525A4">
        <w:t xml:space="preserve">sets out requirements for the due diligence assessment to be carried out by a financial institution (the </w:t>
      </w:r>
      <w:r w:rsidR="008E4634" w:rsidRPr="00D525A4">
        <w:rPr>
          <w:b/>
          <w:i/>
        </w:rPr>
        <w:t>correspondent</w:t>
      </w:r>
      <w:r w:rsidR="00214264" w:rsidRPr="00D525A4">
        <w:t xml:space="preserve">) in relation to an entry into a correspondent banking relationship with another financial institution </w:t>
      </w:r>
      <w:r w:rsidR="00487453" w:rsidRPr="00D525A4">
        <w:t xml:space="preserve">(the </w:t>
      </w:r>
      <w:r w:rsidR="00487453" w:rsidRPr="00D525A4">
        <w:rPr>
          <w:b/>
          <w:i/>
        </w:rPr>
        <w:t>respondent</w:t>
      </w:r>
      <w:r w:rsidR="00487453" w:rsidRPr="00D525A4">
        <w:t xml:space="preserve">) </w:t>
      </w:r>
      <w:r w:rsidR="00214264" w:rsidRPr="00D525A4">
        <w:t>that will involve a vostro account</w:t>
      </w:r>
      <w:r w:rsidRPr="00D525A4">
        <w:t>.</w:t>
      </w:r>
    </w:p>
    <w:p w14:paraId="2712BEB8" w14:textId="77777777" w:rsidR="00122561" w:rsidRPr="00D525A4" w:rsidRDefault="00693FC4" w:rsidP="00487453">
      <w:pPr>
        <w:pStyle w:val="subsection"/>
      </w:pPr>
      <w:r w:rsidRPr="00D525A4">
        <w:tab/>
        <w:t>(2)</w:t>
      </w:r>
      <w:r w:rsidRPr="00D525A4">
        <w:tab/>
      </w:r>
      <w:r w:rsidR="00931C44" w:rsidRPr="00D525A4">
        <w:t>The</w:t>
      </w:r>
      <w:r w:rsidRPr="00D525A4">
        <w:t xml:space="preserve"> due diligence </w:t>
      </w:r>
      <w:r w:rsidR="00931C44" w:rsidRPr="00D525A4">
        <w:t xml:space="preserve">assessment required </w:t>
      </w:r>
      <w:r w:rsidRPr="00D525A4">
        <w:t xml:space="preserve">to </w:t>
      </w:r>
      <w:r w:rsidR="00931C44" w:rsidRPr="00D525A4">
        <w:t>be carried out is a</w:t>
      </w:r>
      <w:r w:rsidR="00937950" w:rsidRPr="00D525A4">
        <w:t>n</w:t>
      </w:r>
      <w:r w:rsidR="00931C44" w:rsidRPr="00D525A4">
        <w:t xml:space="preserve"> assessment of the </w:t>
      </w:r>
      <w:r w:rsidR="005D0253" w:rsidRPr="00D525A4">
        <w:t xml:space="preserve">risks of </w:t>
      </w:r>
      <w:r w:rsidRPr="00D525A4">
        <w:t>money laundering, financing of terrorism</w:t>
      </w:r>
      <w:r w:rsidR="00B779BF" w:rsidRPr="00D525A4">
        <w:t>, proliferation financing</w:t>
      </w:r>
      <w:r w:rsidRPr="00D525A4">
        <w:t xml:space="preserve"> </w:t>
      </w:r>
      <w:r w:rsidR="00E16EBC" w:rsidRPr="00D525A4">
        <w:t>and</w:t>
      </w:r>
      <w:r w:rsidRPr="00D525A4">
        <w:t xml:space="preserve"> other serious crime</w:t>
      </w:r>
      <w:r w:rsidR="00B72363" w:rsidRPr="00D525A4">
        <w:t>s</w:t>
      </w:r>
      <w:r w:rsidRPr="00D525A4">
        <w:t xml:space="preserve"> associated with </w:t>
      </w:r>
      <w:r w:rsidR="009A14FA" w:rsidRPr="00D525A4">
        <w:t xml:space="preserve">the </w:t>
      </w:r>
      <w:r w:rsidRPr="00D525A4">
        <w:t xml:space="preserve">entry into </w:t>
      </w:r>
      <w:r w:rsidR="00701212" w:rsidRPr="00D525A4">
        <w:t>the</w:t>
      </w:r>
      <w:r w:rsidRPr="00D525A4">
        <w:t xml:space="preserve"> correspondent banking relationship.</w:t>
      </w:r>
    </w:p>
    <w:p w14:paraId="152B6B45" w14:textId="77777777" w:rsidR="00693FC4" w:rsidRPr="00D525A4" w:rsidRDefault="00693FC4" w:rsidP="00693FC4">
      <w:pPr>
        <w:pStyle w:val="subsection"/>
      </w:pPr>
      <w:r w:rsidRPr="00D525A4">
        <w:tab/>
        <w:t>(3)</w:t>
      </w:r>
      <w:r w:rsidRPr="00D525A4">
        <w:tab/>
      </w:r>
      <w:r w:rsidR="00E750AA" w:rsidRPr="00D525A4">
        <w:t>In</w:t>
      </w:r>
      <w:r w:rsidR="00DE1EEF" w:rsidRPr="00D525A4">
        <w:t xml:space="preserve"> </w:t>
      </w:r>
      <w:r w:rsidR="009661BB" w:rsidRPr="00D525A4">
        <w:t xml:space="preserve">carrying out </w:t>
      </w:r>
      <w:r w:rsidR="005337A2" w:rsidRPr="00D525A4">
        <w:t>the</w:t>
      </w:r>
      <w:r w:rsidR="009661BB" w:rsidRPr="00D525A4">
        <w:t xml:space="preserve"> due diligence </w:t>
      </w:r>
      <w:r w:rsidRPr="00D525A4">
        <w:t>assess</w:t>
      </w:r>
      <w:r w:rsidR="009661BB" w:rsidRPr="00D525A4">
        <w:t>ment</w:t>
      </w:r>
      <w:r w:rsidR="00DB3958" w:rsidRPr="00D525A4">
        <w:t xml:space="preserve">, the </w:t>
      </w:r>
      <w:r w:rsidR="009F506B" w:rsidRPr="00D525A4">
        <w:t>correspondent</w:t>
      </w:r>
      <w:r w:rsidR="00DB3958" w:rsidRPr="00D525A4">
        <w:t xml:space="preserve"> must consider the following matters</w:t>
      </w:r>
      <w:r w:rsidRPr="00D525A4">
        <w:t>:</w:t>
      </w:r>
    </w:p>
    <w:p w14:paraId="3DBEE20D" w14:textId="77777777" w:rsidR="00693FC4" w:rsidRPr="00D525A4" w:rsidRDefault="00693FC4" w:rsidP="00693FC4">
      <w:pPr>
        <w:pStyle w:val="paragraph"/>
      </w:pPr>
      <w:r w:rsidRPr="00D525A4">
        <w:tab/>
        <w:t>(a)</w:t>
      </w:r>
      <w:r w:rsidRPr="00D525A4">
        <w:tab/>
        <w:t>the ownership, control and management structures of:</w:t>
      </w:r>
    </w:p>
    <w:p w14:paraId="5EF2D819" w14:textId="77777777" w:rsidR="00693FC4" w:rsidRPr="00D525A4" w:rsidRDefault="00693FC4" w:rsidP="00693FC4">
      <w:pPr>
        <w:pStyle w:val="paragraphsub"/>
      </w:pPr>
      <w:r w:rsidRPr="00D525A4">
        <w:tab/>
        <w:t>(i)</w:t>
      </w:r>
      <w:r w:rsidRPr="00D525A4">
        <w:tab/>
        <w:t xml:space="preserve">the </w:t>
      </w:r>
      <w:r w:rsidR="004B0E81" w:rsidRPr="00D525A4">
        <w:t>respondent</w:t>
      </w:r>
      <w:r w:rsidRPr="00D525A4">
        <w:t>; and</w:t>
      </w:r>
    </w:p>
    <w:p w14:paraId="25592CF2" w14:textId="77777777" w:rsidR="00221B12" w:rsidRPr="00D525A4" w:rsidRDefault="00693FC4" w:rsidP="001D2C38">
      <w:pPr>
        <w:pStyle w:val="paragraphsub"/>
      </w:pPr>
      <w:r w:rsidRPr="00D525A4">
        <w:tab/>
        <w:t>(ii)</w:t>
      </w:r>
      <w:r w:rsidRPr="00D525A4">
        <w:tab/>
        <w:t xml:space="preserve">the ultimate parent of the </w:t>
      </w:r>
      <w:r w:rsidR="004B0E81" w:rsidRPr="00D525A4">
        <w:t>respondent</w:t>
      </w:r>
      <w:r w:rsidR="00000758" w:rsidRPr="00D525A4">
        <w:t xml:space="preserve"> (</w:t>
      </w:r>
      <w:r w:rsidRPr="00D525A4">
        <w:t>if any</w:t>
      </w:r>
      <w:r w:rsidR="00000758" w:rsidRPr="00D525A4">
        <w:t>)</w:t>
      </w:r>
      <w:r w:rsidRPr="00D525A4">
        <w:t>;</w:t>
      </w:r>
    </w:p>
    <w:p w14:paraId="691E0F09" w14:textId="77777777" w:rsidR="00693FC4" w:rsidRPr="00D525A4" w:rsidRDefault="00693FC4" w:rsidP="00693FC4">
      <w:pPr>
        <w:pStyle w:val="paragraph"/>
      </w:pPr>
      <w:r w:rsidRPr="00D525A4">
        <w:tab/>
        <w:t>(b)</w:t>
      </w:r>
      <w:r w:rsidRPr="00D525A4">
        <w:tab/>
        <w:t xml:space="preserve">the nature, size, and complexity of the </w:t>
      </w:r>
      <w:r w:rsidR="009D1249" w:rsidRPr="00D525A4">
        <w:t>respondent</w:t>
      </w:r>
      <w:r w:rsidRPr="00D525A4">
        <w:t>’s business, including:</w:t>
      </w:r>
    </w:p>
    <w:p w14:paraId="4133C547" w14:textId="77777777" w:rsidR="00EF6599" w:rsidRPr="00D525A4" w:rsidRDefault="00693FC4" w:rsidP="00EF6599">
      <w:pPr>
        <w:pStyle w:val="paragraphsub"/>
      </w:pPr>
      <w:r w:rsidRPr="00D525A4">
        <w:tab/>
        <w:t>(i)</w:t>
      </w:r>
      <w:r w:rsidRPr="00D525A4">
        <w:tab/>
      </w:r>
      <w:r w:rsidR="00EF6599" w:rsidRPr="00D525A4">
        <w:t xml:space="preserve">the products and services offered by the </w:t>
      </w:r>
      <w:r w:rsidR="0020190B" w:rsidRPr="00D525A4">
        <w:t>respondent</w:t>
      </w:r>
      <w:r w:rsidR="00EF6599" w:rsidRPr="00D525A4">
        <w:t>, and the delivery channels by which it provides services; and</w:t>
      </w:r>
    </w:p>
    <w:p w14:paraId="7A241C0A" w14:textId="77777777" w:rsidR="004D0F6D" w:rsidRPr="00D525A4" w:rsidRDefault="00EF6599" w:rsidP="00E343F0">
      <w:pPr>
        <w:pStyle w:val="paragraphsub"/>
      </w:pPr>
      <w:r w:rsidRPr="00D525A4">
        <w:tab/>
        <w:t>(ii)</w:t>
      </w:r>
      <w:r w:rsidRPr="00D525A4">
        <w:tab/>
        <w:t xml:space="preserve">the kinds of customers that the </w:t>
      </w:r>
      <w:r w:rsidR="0020190B" w:rsidRPr="00D525A4">
        <w:t>respondent</w:t>
      </w:r>
      <w:r w:rsidRPr="00D525A4">
        <w:t xml:space="preserve"> has</w:t>
      </w:r>
      <w:r w:rsidR="00FE7EF3" w:rsidRPr="00D525A4">
        <w:t>; and</w:t>
      </w:r>
    </w:p>
    <w:p w14:paraId="5654B75F" w14:textId="77777777" w:rsidR="00B179CB" w:rsidRPr="00D525A4" w:rsidRDefault="00693FC4" w:rsidP="00CC7404">
      <w:pPr>
        <w:pStyle w:val="paragraphsub"/>
      </w:pPr>
      <w:r w:rsidRPr="00D525A4">
        <w:tab/>
        <w:t>(</w:t>
      </w:r>
      <w:r w:rsidR="00FE7EF3" w:rsidRPr="00D525A4">
        <w:t>i</w:t>
      </w:r>
      <w:r w:rsidRPr="00D525A4">
        <w:t>ii)</w:t>
      </w:r>
      <w:r w:rsidRPr="00D525A4">
        <w:tab/>
        <w:t>the</w:t>
      </w:r>
      <w:r w:rsidR="004E6A27" w:rsidRPr="00D525A4">
        <w:t xml:space="preserve"> kinds</w:t>
      </w:r>
      <w:r w:rsidRPr="00D525A4">
        <w:t xml:space="preserve"> of transactions </w:t>
      </w:r>
      <w:r w:rsidR="00A6639F" w:rsidRPr="00D525A4">
        <w:t xml:space="preserve">that would be </w:t>
      </w:r>
      <w:r w:rsidRPr="00D525A4">
        <w:t xml:space="preserve">carried out on behalf of </w:t>
      </w:r>
      <w:r w:rsidR="00363CAC" w:rsidRPr="00D525A4">
        <w:t>the respondent’s</w:t>
      </w:r>
      <w:r w:rsidR="008830BF" w:rsidRPr="00D525A4">
        <w:t xml:space="preserve"> customers</w:t>
      </w:r>
      <w:r w:rsidRPr="00D525A4">
        <w:t xml:space="preserve"> as part of the correspondent banking relationship and the services</w:t>
      </w:r>
      <w:r w:rsidR="00A46813" w:rsidRPr="00D525A4">
        <w:t xml:space="preserve"> </w:t>
      </w:r>
      <w:r w:rsidR="00B01EF1" w:rsidRPr="00D525A4">
        <w:t xml:space="preserve">that would be </w:t>
      </w:r>
      <w:r w:rsidRPr="00D525A4">
        <w:t xml:space="preserve">provided to </w:t>
      </w:r>
      <w:r w:rsidR="00363CAC" w:rsidRPr="00D525A4">
        <w:t>the respondent’s customers</w:t>
      </w:r>
      <w:r w:rsidRPr="00D525A4">
        <w:t xml:space="preserve"> that relate to such transactions;</w:t>
      </w:r>
    </w:p>
    <w:p w14:paraId="0B0BAE94" w14:textId="77777777" w:rsidR="00693FC4" w:rsidRPr="00D525A4" w:rsidRDefault="00693FC4" w:rsidP="00693FC4">
      <w:pPr>
        <w:pStyle w:val="paragraph"/>
      </w:pPr>
      <w:r w:rsidRPr="00D525A4">
        <w:tab/>
        <w:t>(c)</w:t>
      </w:r>
      <w:r w:rsidRPr="00D525A4">
        <w:tab/>
        <w:t>the country or countries:</w:t>
      </w:r>
    </w:p>
    <w:p w14:paraId="5A3508EE" w14:textId="77777777" w:rsidR="00693FC4" w:rsidRPr="00D525A4" w:rsidRDefault="00693FC4" w:rsidP="00693FC4">
      <w:pPr>
        <w:pStyle w:val="paragraphsub"/>
      </w:pPr>
      <w:r w:rsidRPr="00D525A4">
        <w:tab/>
        <w:t>(i)</w:t>
      </w:r>
      <w:r w:rsidRPr="00D525A4">
        <w:tab/>
      </w:r>
      <w:r w:rsidR="000D1E4E" w:rsidRPr="00D525A4">
        <w:t xml:space="preserve">in which </w:t>
      </w:r>
      <w:r w:rsidR="005E51EB" w:rsidRPr="00D525A4">
        <w:t xml:space="preserve">the respondent </w:t>
      </w:r>
      <w:r w:rsidR="000E137C" w:rsidRPr="00D525A4">
        <w:t xml:space="preserve">operates or </w:t>
      </w:r>
      <w:r w:rsidR="000D1E4E" w:rsidRPr="00D525A4">
        <w:t xml:space="preserve">of which </w:t>
      </w:r>
      <w:r w:rsidR="008A6813" w:rsidRPr="00D525A4">
        <w:t xml:space="preserve">it </w:t>
      </w:r>
      <w:r w:rsidR="003609F4" w:rsidRPr="00D525A4">
        <w:t xml:space="preserve">is </w:t>
      </w:r>
      <w:r w:rsidR="0071565C" w:rsidRPr="00D525A4">
        <w:t xml:space="preserve">a </w:t>
      </w:r>
      <w:r w:rsidR="003609F4" w:rsidRPr="00D525A4">
        <w:t>resident</w:t>
      </w:r>
      <w:r w:rsidRPr="00D525A4">
        <w:t>;</w:t>
      </w:r>
      <w:r w:rsidR="003609F4" w:rsidRPr="00D525A4">
        <w:t xml:space="preserve"> </w:t>
      </w:r>
      <w:r w:rsidRPr="00D525A4">
        <w:t>and</w:t>
      </w:r>
    </w:p>
    <w:p w14:paraId="3FA46FE6" w14:textId="16ED5D6B" w:rsidR="00AC79DD" w:rsidRPr="00D525A4" w:rsidRDefault="00693FC4" w:rsidP="00CF0684">
      <w:pPr>
        <w:pStyle w:val="paragraphsub"/>
      </w:pPr>
      <w:r w:rsidRPr="00D525A4">
        <w:tab/>
        <w:t>(ii)</w:t>
      </w:r>
      <w:r w:rsidRPr="00D525A4">
        <w:tab/>
        <w:t xml:space="preserve">if the ultimate parent of the </w:t>
      </w:r>
      <w:r w:rsidR="009D1249" w:rsidRPr="00D525A4">
        <w:t>respondent</w:t>
      </w:r>
      <w:r w:rsidRPr="00D525A4">
        <w:t xml:space="preserve"> </w:t>
      </w:r>
      <w:r w:rsidR="0044277E" w:rsidRPr="00D525A4">
        <w:t xml:space="preserve">(if any) </w:t>
      </w:r>
      <w:r w:rsidRPr="00D525A4">
        <w:t>has group</w:t>
      </w:r>
      <w:r w:rsidR="00D525A4">
        <w:noBreakHyphen/>
      </w:r>
      <w:r w:rsidRPr="00D525A4">
        <w:t>wide anti</w:t>
      </w:r>
      <w:r w:rsidR="00D525A4">
        <w:noBreakHyphen/>
      </w:r>
      <w:r w:rsidRPr="00D525A4">
        <w:t>money laundering and counter</w:t>
      </w:r>
      <w:r w:rsidR="00D525A4">
        <w:noBreakHyphen/>
      </w:r>
      <w:r w:rsidRPr="00D525A4">
        <w:t xml:space="preserve">terrorism financing systems and controls, and the </w:t>
      </w:r>
      <w:r w:rsidR="009D1249" w:rsidRPr="00D525A4">
        <w:t>respondent</w:t>
      </w:r>
      <w:r w:rsidRPr="00D525A4">
        <w:t xml:space="preserve"> operates within the requirements of those controls—</w:t>
      </w:r>
      <w:r w:rsidR="008A6813" w:rsidRPr="00D525A4">
        <w:t xml:space="preserve">in which </w:t>
      </w:r>
      <w:r w:rsidRPr="00D525A4">
        <w:t xml:space="preserve">the ultimate parent </w:t>
      </w:r>
      <w:r w:rsidR="00AC79DD" w:rsidRPr="00D525A4">
        <w:t xml:space="preserve">operates or </w:t>
      </w:r>
      <w:r w:rsidR="008A6813" w:rsidRPr="00D525A4">
        <w:t xml:space="preserve">of which it </w:t>
      </w:r>
      <w:r w:rsidR="003609F4" w:rsidRPr="00D525A4">
        <w:t xml:space="preserve">is </w:t>
      </w:r>
      <w:r w:rsidR="0071565C" w:rsidRPr="00D525A4">
        <w:t xml:space="preserve">a </w:t>
      </w:r>
      <w:r w:rsidR="00AC79DD" w:rsidRPr="00D525A4">
        <w:t>reside</w:t>
      </w:r>
      <w:r w:rsidR="003609F4" w:rsidRPr="00D525A4">
        <w:t>nt</w:t>
      </w:r>
      <w:r w:rsidRPr="00D525A4">
        <w:t>;</w:t>
      </w:r>
    </w:p>
    <w:p w14:paraId="22659170" w14:textId="3D263850" w:rsidR="000F7250" w:rsidRPr="00D525A4" w:rsidRDefault="000F7250" w:rsidP="007F403F">
      <w:pPr>
        <w:pStyle w:val="paragraph"/>
      </w:pPr>
      <w:r w:rsidRPr="00D525A4">
        <w:tab/>
        <w:t>(</w:t>
      </w:r>
      <w:r w:rsidR="007F403F" w:rsidRPr="00D525A4">
        <w:t>d</w:t>
      </w:r>
      <w:r w:rsidRPr="00D525A4">
        <w:t>)</w:t>
      </w:r>
      <w:r w:rsidRPr="00D525A4">
        <w:tab/>
      </w:r>
      <w:r w:rsidR="00693FC4" w:rsidRPr="00D525A4">
        <w:t>the existence and quality of any anti</w:t>
      </w:r>
      <w:r w:rsidR="00D525A4">
        <w:noBreakHyphen/>
      </w:r>
      <w:r w:rsidR="00693FC4" w:rsidRPr="00D525A4">
        <w:t>money laundering and counter</w:t>
      </w:r>
      <w:r w:rsidR="00D525A4">
        <w:noBreakHyphen/>
      </w:r>
      <w:r w:rsidR="00693FC4" w:rsidRPr="00D525A4">
        <w:t xml:space="preserve">terrorism financing regulation and supervision in the country or countries identified under </w:t>
      </w:r>
      <w:r w:rsidR="009F59ED" w:rsidRPr="00D525A4">
        <w:t>paragraph (</w:t>
      </w:r>
      <w:r w:rsidR="005E3469" w:rsidRPr="00D525A4">
        <w:t>c</w:t>
      </w:r>
      <w:r w:rsidR="00693FC4" w:rsidRPr="00D525A4">
        <w:t xml:space="preserve">) and the </w:t>
      </w:r>
      <w:r w:rsidR="009D1249" w:rsidRPr="00D525A4">
        <w:t>respondent</w:t>
      </w:r>
      <w:r w:rsidR="00693FC4" w:rsidRPr="00D525A4">
        <w:t>’s compliance practices in relation to those regulations;</w:t>
      </w:r>
    </w:p>
    <w:p w14:paraId="2D894916" w14:textId="175A47AA" w:rsidR="000F7250" w:rsidRPr="00D525A4" w:rsidRDefault="000F7250" w:rsidP="007F403F">
      <w:pPr>
        <w:pStyle w:val="paragraph"/>
      </w:pPr>
      <w:r w:rsidRPr="00D525A4">
        <w:tab/>
        <w:t>(</w:t>
      </w:r>
      <w:r w:rsidR="007F403F" w:rsidRPr="00D525A4">
        <w:t>e</w:t>
      </w:r>
      <w:r w:rsidRPr="00D525A4">
        <w:t>)</w:t>
      </w:r>
      <w:r w:rsidRPr="00D525A4">
        <w:tab/>
      </w:r>
      <w:r w:rsidR="00693FC4" w:rsidRPr="00D525A4">
        <w:t xml:space="preserve">the </w:t>
      </w:r>
      <w:r w:rsidR="00A65323" w:rsidRPr="00D525A4">
        <w:t>appropriateness</w:t>
      </w:r>
      <w:r w:rsidR="00693FC4" w:rsidRPr="00D525A4">
        <w:t xml:space="preserve"> of the </w:t>
      </w:r>
      <w:r w:rsidR="009D1249" w:rsidRPr="00D525A4">
        <w:t>respondent</w:t>
      </w:r>
      <w:r w:rsidR="00693FC4" w:rsidRPr="00D525A4">
        <w:t>’s anti</w:t>
      </w:r>
      <w:r w:rsidR="00D525A4">
        <w:noBreakHyphen/>
      </w:r>
      <w:r w:rsidR="00693FC4" w:rsidRPr="00D525A4">
        <w:t>money laundering and counter</w:t>
      </w:r>
      <w:r w:rsidR="00D525A4">
        <w:noBreakHyphen/>
      </w:r>
      <w:r w:rsidR="00693FC4" w:rsidRPr="00D525A4">
        <w:t>terrorism financing systems and controls;</w:t>
      </w:r>
    </w:p>
    <w:p w14:paraId="06C58AD7" w14:textId="2B0EB923" w:rsidR="009738E0" w:rsidRPr="00D525A4" w:rsidRDefault="000F7250" w:rsidP="00F6022F">
      <w:pPr>
        <w:pStyle w:val="paragraph"/>
      </w:pPr>
      <w:r w:rsidRPr="00D525A4">
        <w:tab/>
        <w:t>(</w:t>
      </w:r>
      <w:r w:rsidR="007F403F" w:rsidRPr="00D525A4">
        <w:t>f</w:t>
      </w:r>
      <w:r w:rsidRPr="00D525A4">
        <w:t>)</w:t>
      </w:r>
      <w:r w:rsidRPr="00D525A4">
        <w:tab/>
      </w:r>
      <w:r w:rsidR="00693FC4" w:rsidRPr="00D525A4">
        <w:t>publicly</w:t>
      </w:r>
      <w:r w:rsidR="00CF107D" w:rsidRPr="00D525A4">
        <w:t xml:space="preserve"> </w:t>
      </w:r>
      <w:r w:rsidR="00693FC4" w:rsidRPr="00D525A4">
        <w:t xml:space="preserve">available information relating to the reputation of the </w:t>
      </w:r>
      <w:r w:rsidR="009D1249" w:rsidRPr="00D525A4">
        <w:t>respondent</w:t>
      </w:r>
      <w:r w:rsidR="00693FC4" w:rsidRPr="00D525A4">
        <w:t xml:space="preserve"> and </w:t>
      </w:r>
      <w:r w:rsidR="004019AD" w:rsidRPr="00D525A4">
        <w:t xml:space="preserve">the members (if any) of the business group of which the customer is a member that are a remitter, virtual asset service provider or financial </w:t>
      </w:r>
      <w:r w:rsidR="004019AD" w:rsidRPr="00D525A4">
        <w:lastRenderedPageBreak/>
        <w:t>institution</w:t>
      </w:r>
      <w:r w:rsidR="00693FC4" w:rsidRPr="00D525A4">
        <w:t xml:space="preserve">, including whether the </w:t>
      </w:r>
      <w:r w:rsidR="009D1249" w:rsidRPr="00D525A4">
        <w:t>respondent</w:t>
      </w:r>
      <w:r w:rsidR="0041387C" w:rsidRPr="00D525A4">
        <w:t xml:space="preserve"> </w:t>
      </w:r>
      <w:r w:rsidR="006B2C97" w:rsidRPr="00D525A4">
        <w:t xml:space="preserve">or </w:t>
      </w:r>
      <w:r w:rsidR="00331A08" w:rsidRPr="00D525A4">
        <w:t xml:space="preserve">any of </w:t>
      </w:r>
      <w:r w:rsidR="004019AD" w:rsidRPr="00D525A4">
        <w:t>those members</w:t>
      </w:r>
      <w:r w:rsidR="0041387C" w:rsidRPr="00D525A4">
        <w:t xml:space="preserve"> ha</w:t>
      </w:r>
      <w:r w:rsidR="00331A08" w:rsidRPr="00D525A4">
        <w:t>s</w:t>
      </w:r>
      <w:r w:rsidR="00693FC4" w:rsidRPr="00D525A4">
        <w:t xml:space="preserve"> been the subject of:</w:t>
      </w:r>
    </w:p>
    <w:p w14:paraId="636C1645" w14:textId="39EDA789" w:rsidR="00693FC4" w:rsidRPr="00D525A4" w:rsidRDefault="000F7250" w:rsidP="000F7250">
      <w:pPr>
        <w:pStyle w:val="paragraphsub"/>
      </w:pPr>
      <w:r w:rsidRPr="00D525A4">
        <w:tab/>
        <w:t>(i)</w:t>
      </w:r>
      <w:r w:rsidRPr="00D525A4">
        <w:tab/>
      </w:r>
      <w:r w:rsidR="00693FC4" w:rsidRPr="00D525A4">
        <w:t>a regulatory investigation relating to implementation of anti</w:t>
      </w:r>
      <w:r w:rsidR="00D525A4">
        <w:noBreakHyphen/>
      </w:r>
      <w:r w:rsidR="00693FC4" w:rsidRPr="00D525A4">
        <w:t>money laundering, counter</w:t>
      </w:r>
      <w:r w:rsidR="00D525A4">
        <w:noBreakHyphen/>
      </w:r>
      <w:r w:rsidR="00693FC4" w:rsidRPr="00D525A4">
        <w:t>terrorism financing or sanctions obligations; or</w:t>
      </w:r>
    </w:p>
    <w:p w14:paraId="449F4FCD" w14:textId="6D975922" w:rsidR="00693FC4" w:rsidRPr="00D525A4" w:rsidRDefault="000F7250" w:rsidP="000F7250">
      <w:pPr>
        <w:pStyle w:val="paragraphsub"/>
      </w:pPr>
      <w:r w:rsidRPr="00D525A4">
        <w:tab/>
        <w:t>(ii)</w:t>
      </w:r>
      <w:r w:rsidRPr="00D525A4">
        <w:tab/>
      </w:r>
      <w:r w:rsidR="00693FC4" w:rsidRPr="00D525A4">
        <w:t>adverse regulatory action relating to implementation of anti</w:t>
      </w:r>
      <w:r w:rsidR="00D525A4">
        <w:noBreakHyphen/>
      </w:r>
      <w:r w:rsidR="00693FC4" w:rsidRPr="00D525A4">
        <w:t>money laundering, counter</w:t>
      </w:r>
      <w:r w:rsidR="00D525A4">
        <w:noBreakHyphen/>
      </w:r>
      <w:r w:rsidR="00693FC4" w:rsidRPr="00D525A4">
        <w:t>terrorism financing or sanctions obligations; or</w:t>
      </w:r>
    </w:p>
    <w:p w14:paraId="2EC5332E" w14:textId="77777777" w:rsidR="00E24409" w:rsidRPr="00D525A4" w:rsidRDefault="000F7250" w:rsidP="009738E0">
      <w:pPr>
        <w:pStyle w:val="paragraphsub"/>
      </w:pPr>
      <w:r w:rsidRPr="00D525A4">
        <w:tab/>
        <w:t>(iii)</w:t>
      </w:r>
      <w:r w:rsidRPr="00D525A4">
        <w:tab/>
      </w:r>
      <w:r w:rsidR="00693FC4" w:rsidRPr="00D525A4">
        <w:t>an investigation or criminal or civil proceedings relating to money laundering, financing of terrorism or other serious crimes;</w:t>
      </w:r>
    </w:p>
    <w:p w14:paraId="5E493F08" w14:textId="5010CF6F" w:rsidR="00693FC4" w:rsidRPr="00D525A4" w:rsidRDefault="000F7250" w:rsidP="000F7250">
      <w:pPr>
        <w:pStyle w:val="paragraph"/>
      </w:pPr>
      <w:r w:rsidRPr="00D525A4">
        <w:tab/>
        <w:t>(</w:t>
      </w:r>
      <w:r w:rsidR="007F403F" w:rsidRPr="00D525A4">
        <w:t>g</w:t>
      </w:r>
      <w:r w:rsidRPr="00D525A4">
        <w:t>)</w:t>
      </w:r>
      <w:r w:rsidRPr="00D525A4">
        <w:tab/>
      </w:r>
      <w:r w:rsidR="00693FC4" w:rsidRPr="00D525A4">
        <w:t xml:space="preserve">if the </w:t>
      </w:r>
      <w:r w:rsidR="00D92E91" w:rsidRPr="00D525A4">
        <w:t>correspondent</w:t>
      </w:r>
      <w:r w:rsidR="0074057C" w:rsidRPr="00D525A4">
        <w:t xml:space="preserve"> </w:t>
      </w:r>
      <w:r w:rsidR="00B11D48" w:rsidRPr="00D525A4">
        <w:t>is to</w:t>
      </w:r>
      <w:r w:rsidR="00C929DC" w:rsidRPr="00D525A4">
        <w:t xml:space="preserve"> </w:t>
      </w:r>
      <w:r w:rsidR="00693FC4" w:rsidRPr="00D525A4">
        <w:t>maintain vostro accounts that</w:t>
      </w:r>
      <w:r w:rsidR="00B01509" w:rsidRPr="00D525A4">
        <w:t xml:space="preserve"> </w:t>
      </w:r>
      <w:r w:rsidR="004968B1" w:rsidRPr="00D525A4">
        <w:t>can</w:t>
      </w:r>
      <w:r w:rsidR="00693FC4" w:rsidRPr="00D525A4">
        <w:t xml:space="preserve"> be accessed directly by the customers of the </w:t>
      </w:r>
      <w:r w:rsidR="0051188C" w:rsidRPr="00D525A4">
        <w:t>respondent</w:t>
      </w:r>
      <w:r w:rsidR="003E4CDB" w:rsidRPr="00D525A4">
        <w:t xml:space="preserve"> (</w:t>
      </w:r>
      <w:r w:rsidR="003E4CDB" w:rsidRPr="00D525A4">
        <w:rPr>
          <w:b/>
          <w:i/>
        </w:rPr>
        <w:t>payable</w:t>
      </w:r>
      <w:r w:rsidR="00D525A4">
        <w:rPr>
          <w:b/>
          <w:i/>
        </w:rPr>
        <w:noBreakHyphen/>
      </w:r>
      <w:r w:rsidR="003E4CDB" w:rsidRPr="00D525A4">
        <w:rPr>
          <w:b/>
          <w:i/>
        </w:rPr>
        <w:t>through accounts</w:t>
      </w:r>
      <w:r w:rsidR="003E4CDB" w:rsidRPr="00D525A4">
        <w:t>)</w:t>
      </w:r>
      <w:r w:rsidR="00693FC4" w:rsidRPr="00D525A4">
        <w:t>—</w:t>
      </w:r>
      <w:r w:rsidR="002B47E0" w:rsidRPr="00D525A4">
        <w:t xml:space="preserve">whether </w:t>
      </w:r>
      <w:r w:rsidR="00693FC4" w:rsidRPr="00D525A4">
        <w:t xml:space="preserve">the </w:t>
      </w:r>
      <w:r w:rsidR="0051188C" w:rsidRPr="00D525A4">
        <w:t>respondent</w:t>
      </w:r>
      <w:r w:rsidR="00693FC4" w:rsidRPr="00D525A4">
        <w:t>:</w:t>
      </w:r>
    </w:p>
    <w:p w14:paraId="3B03EF25" w14:textId="77777777" w:rsidR="00693FC4" w:rsidRPr="00D525A4" w:rsidRDefault="000F7250" w:rsidP="000F7250">
      <w:pPr>
        <w:pStyle w:val="paragraphsub"/>
      </w:pPr>
      <w:r w:rsidRPr="00D525A4">
        <w:tab/>
        <w:t>(i)</w:t>
      </w:r>
      <w:r w:rsidRPr="00D525A4">
        <w:tab/>
      </w:r>
      <w:r w:rsidR="004968B1" w:rsidRPr="00D525A4">
        <w:t xml:space="preserve">would </w:t>
      </w:r>
      <w:r w:rsidR="007F537D" w:rsidRPr="00D525A4">
        <w:t>undertake</w:t>
      </w:r>
      <w:r w:rsidR="00E05C63" w:rsidRPr="00D525A4">
        <w:t xml:space="preserve"> </w:t>
      </w:r>
      <w:r w:rsidR="007144D8" w:rsidRPr="00D525A4">
        <w:t xml:space="preserve">initial </w:t>
      </w:r>
      <w:r w:rsidR="00693FC4" w:rsidRPr="00D525A4">
        <w:t>customer due diligence and ongoing customer due diligence in relation to those customers; and</w:t>
      </w:r>
    </w:p>
    <w:p w14:paraId="20FA4518" w14:textId="77777777" w:rsidR="00ED77FF" w:rsidRPr="00D525A4" w:rsidRDefault="000F7250" w:rsidP="004968B1">
      <w:pPr>
        <w:pStyle w:val="paragraphsub"/>
      </w:pPr>
      <w:r w:rsidRPr="00D525A4">
        <w:tab/>
        <w:t>(ii)</w:t>
      </w:r>
      <w:r w:rsidRPr="00D525A4">
        <w:tab/>
      </w:r>
      <w:r w:rsidR="000C3955" w:rsidRPr="00D525A4">
        <w:t>would be</w:t>
      </w:r>
      <w:r w:rsidR="00693FC4" w:rsidRPr="00D525A4">
        <w:t xml:space="preserve"> able to provide to the</w:t>
      </w:r>
      <w:r w:rsidR="00547DAE" w:rsidRPr="00D525A4">
        <w:t xml:space="preserve"> </w:t>
      </w:r>
      <w:r w:rsidR="00D92E91" w:rsidRPr="00D525A4">
        <w:t>correspondent</w:t>
      </w:r>
      <w:r w:rsidR="00693FC4" w:rsidRPr="00D525A4">
        <w:t>, on request,</w:t>
      </w:r>
      <w:r w:rsidR="00DA35E9" w:rsidRPr="00D525A4">
        <w:t xml:space="preserve"> </w:t>
      </w:r>
      <w:r w:rsidR="003E573E" w:rsidRPr="00D525A4">
        <w:t>information collected</w:t>
      </w:r>
      <w:r w:rsidR="00693FC4" w:rsidRPr="00D525A4">
        <w:t xml:space="preserve"> when </w:t>
      </w:r>
      <w:r w:rsidR="00832ED8" w:rsidRPr="00D525A4">
        <w:t xml:space="preserve">the </w:t>
      </w:r>
      <w:r w:rsidR="0051188C" w:rsidRPr="00D525A4">
        <w:t>respondent</w:t>
      </w:r>
      <w:r w:rsidR="00832ED8" w:rsidRPr="00D525A4">
        <w:t xml:space="preserve"> </w:t>
      </w:r>
      <w:r w:rsidR="007F537D" w:rsidRPr="00D525A4">
        <w:t>undertakes</w:t>
      </w:r>
      <w:r w:rsidR="00693FC4" w:rsidRPr="00D525A4">
        <w:t xml:space="preserve"> </w:t>
      </w:r>
      <w:r w:rsidR="007F537D" w:rsidRPr="00D525A4">
        <w:t xml:space="preserve">initial </w:t>
      </w:r>
      <w:r w:rsidR="00693FC4" w:rsidRPr="00D525A4">
        <w:t>customer due diligence and ongoing customer due diligence in relation to those customers</w:t>
      </w:r>
      <w:r w:rsidR="00A62627" w:rsidRPr="00D525A4">
        <w:t xml:space="preserve"> and the reliable and independent data used to verify th</w:t>
      </w:r>
      <w:r w:rsidR="008234EE" w:rsidRPr="00D525A4">
        <w:t>e</w:t>
      </w:r>
      <w:r w:rsidR="00DA35E9" w:rsidRPr="00D525A4">
        <w:t xml:space="preserve"> </w:t>
      </w:r>
      <w:r w:rsidR="00A62627" w:rsidRPr="00D525A4">
        <w:t>information</w:t>
      </w:r>
      <w:r w:rsidR="00693FC4" w:rsidRPr="00D525A4">
        <w:t>.</w:t>
      </w:r>
    </w:p>
    <w:p w14:paraId="3C397DB7" w14:textId="1355958B" w:rsidR="00693FC4" w:rsidRPr="00D525A4" w:rsidRDefault="00EC097E" w:rsidP="00466884">
      <w:pPr>
        <w:pStyle w:val="ActHead5"/>
      </w:pPr>
      <w:bookmarkStart w:id="145" w:name="_Toc198225029"/>
      <w:r w:rsidRPr="00D525A4">
        <w:rPr>
          <w:rStyle w:val="CharSectno"/>
        </w:rPr>
        <w:t>6</w:t>
      </w:r>
      <w:r w:rsidR="00D525A4">
        <w:rPr>
          <w:rStyle w:val="CharSectno"/>
        </w:rPr>
        <w:noBreakHyphen/>
      </w:r>
      <w:r w:rsidRPr="00D525A4">
        <w:rPr>
          <w:rStyle w:val="CharSectno"/>
        </w:rPr>
        <w:t>2</w:t>
      </w:r>
      <w:r w:rsidR="002A2E38" w:rsidRPr="00D525A4">
        <w:t xml:space="preserve">  </w:t>
      </w:r>
      <w:r w:rsidR="00421672" w:rsidRPr="00D525A4">
        <w:t>Matters to which a senior officer must have regard before giving</w:t>
      </w:r>
      <w:r w:rsidR="00693FC4" w:rsidRPr="00D525A4">
        <w:t xml:space="preserve"> approval</w:t>
      </w:r>
      <w:bookmarkEnd w:id="145"/>
    </w:p>
    <w:p w14:paraId="0498A0B6" w14:textId="267FCFA2" w:rsidR="001A48FE" w:rsidRPr="00D525A4" w:rsidRDefault="000F7250" w:rsidP="00DA3FDC">
      <w:pPr>
        <w:pStyle w:val="subsection"/>
      </w:pPr>
      <w:r w:rsidRPr="00D525A4">
        <w:tab/>
        <w:t>(</w:t>
      </w:r>
      <w:r w:rsidR="002A2E38" w:rsidRPr="00D525A4">
        <w:t>1</w:t>
      </w:r>
      <w:r w:rsidRPr="00D525A4">
        <w:t>)</w:t>
      </w:r>
      <w:r w:rsidRPr="00D525A4">
        <w:tab/>
      </w:r>
      <w:r w:rsidR="00912858" w:rsidRPr="00D525A4">
        <w:t xml:space="preserve">For the purposes of </w:t>
      </w:r>
      <w:r w:rsidR="0056097B" w:rsidRPr="00D525A4">
        <w:t>paragraph 9</w:t>
      </w:r>
      <w:r w:rsidR="00912858" w:rsidRPr="00D525A4">
        <w:t>6(1)(</w:t>
      </w:r>
      <w:r w:rsidR="003A0177" w:rsidRPr="00D525A4">
        <w:t>b</w:t>
      </w:r>
      <w:r w:rsidR="00912858" w:rsidRPr="00D525A4">
        <w:t xml:space="preserve">) of the Act, this section sets </w:t>
      </w:r>
      <w:r w:rsidR="00DA3FDC" w:rsidRPr="00D525A4">
        <w:t xml:space="preserve">out </w:t>
      </w:r>
      <w:r w:rsidR="00CD24DA" w:rsidRPr="00D525A4">
        <w:t>the matters that a senior officer of</w:t>
      </w:r>
      <w:r w:rsidR="001A48FE" w:rsidRPr="00D525A4">
        <w:t xml:space="preserve"> a financial institution (the </w:t>
      </w:r>
      <w:r w:rsidR="00A3674E" w:rsidRPr="00D525A4">
        <w:rPr>
          <w:b/>
          <w:i/>
        </w:rPr>
        <w:t>correspondent</w:t>
      </w:r>
      <w:r w:rsidR="001A48FE" w:rsidRPr="00D525A4">
        <w:t xml:space="preserve">) </w:t>
      </w:r>
      <w:r w:rsidR="00DA3FDC" w:rsidRPr="00D525A4">
        <w:t xml:space="preserve">must have regard to </w:t>
      </w:r>
      <w:r w:rsidR="00563C1C" w:rsidRPr="00D525A4">
        <w:t xml:space="preserve">before approving </w:t>
      </w:r>
      <w:r w:rsidR="003C10EC" w:rsidRPr="00D525A4">
        <w:t>the</w:t>
      </w:r>
      <w:r w:rsidR="001A48FE" w:rsidRPr="00D525A4">
        <w:t xml:space="preserve"> entry </w:t>
      </w:r>
      <w:r w:rsidR="003C10EC" w:rsidRPr="00D525A4">
        <w:t xml:space="preserve">by the </w:t>
      </w:r>
      <w:r w:rsidR="00A3674E" w:rsidRPr="00D525A4">
        <w:t>correspondent</w:t>
      </w:r>
      <w:r w:rsidR="003C10EC" w:rsidRPr="00D525A4">
        <w:t xml:space="preserve"> </w:t>
      </w:r>
      <w:r w:rsidR="001A48FE" w:rsidRPr="00D525A4">
        <w:t xml:space="preserve">into a correspondent banking relationship with another financial institution </w:t>
      </w:r>
      <w:r w:rsidR="009C480C" w:rsidRPr="00D525A4">
        <w:t xml:space="preserve">(the </w:t>
      </w:r>
      <w:r w:rsidR="009C480C" w:rsidRPr="00D525A4">
        <w:rPr>
          <w:b/>
          <w:i/>
        </w:rPr>
        <w:t>respondent</w:t>
      </w:r>
      <w:r w:rsidR="009C480C" w:rsidRPr="00D525A4">
        <w:t xml:space="preserve">) </w:t>
      </w:r>
      <w:r w:rsidR="001A48FE" w:rsidRPr="00D525A4">
        <w:t>that will involve a vostro account</w:t>
      </w:r>
      <w:r w:rsidR="003C10EC" w:rsidRPr="00D525A4">
        <w:t>.</w:t>
      </w:r>
    </w:p>
    <w:p w14:paraId="6E5A27AD" w14:textId="77777777" w:rsidR="00693FC4" w:rsidRPr="00D525A4" w:rsidRDefault="008F31D2" w:rsidP="000F7250">
      <w:pPr>
        <w:pStyle w:val="subsection"/>
      </w:pPr>
      <w:r w:rsidRPr="00D525A4">
        <w:tab/>
        <w:t>(2)</w:t>
      </w:r>
      <w:r w:rsidRPr="00D525A4">
        <w:tab/>
      </w:r>
      <w:r w:rsidR="005847C0" w:rsidRPr="00D525A4">
        <w:t>T</w:t>
      </w:r>
      <w:r w:rsidR="008C12B9" w:rsidRPr="00D525A4">
        <w:t>he</w:t>
      </w:r>
      <w:r w:rsidR="00693FC4" w:rsidRPr="00D525A4">
        <w:t xml:space="preserve"> senior officer must have regard to:</w:t>
      </w:r>
    </w:p>
    <w:p w14:paraId="13B11595" w14:textId="77777777" w:rsidR="00693FC4" w:rsidRPr="00D525A4" w:rsidRDefault="000F7250" w:rsidP="000F7250">
      <w:pPr>
        <w:pStyle w:val="paragraph"/>
      </w:pPr>
      <w:r w:rsidRPr="00D525A4">
        <w:tab/>
        <w:t>(a)</w:t>
      </w:r>
      <w:r w:rsidRPr="00D525A4">
        <w:tab/>
      </w:r>
      <w:r w:rsidR="00693FC4" w:rsidRPr="00D525A4">
        <w:t xml:space="preserve">the </w:t>
      </w:r>
      <w:r w:rsidR="008447A4" w:rsidRPr="00D525A4">
        <w:t xml:space="preserve">risks of </w:t>
      </w:r>
      <w:r w:rsidR="00693FC4" w:rsidRPr="00D525A4">
        <w:t>money laundering, financing of terrorism</w:t>
      </w:r>
      <w:r w:rsidR="004B3F89" w:rsidRPr="00D525A4">
        <w:t>, proliferation financing</w:t>
      </w:r>
      <w:r w:rsidR="00693FC4" w:rsidRPr="00D525A4">
        <w:t xml:space="preserve"> </w:t>
      </w:r>
      <w:r w:rsidR="00070B79" w:rsidRPr="00D525A4">
        <w:t>and</w:t>
      </w:r>
      <w:r w:rsidR="00693FC4" w:rsidRPr="00D525A4">
        <w:t xml:space="preserve"> other serious crime</w:t>
      </w:r>
      <w:r w:rsidR="00233FC5" w:rsidRPr="00D525A4">
        <w:t>s</w:t>
      </w:r>
      <w:r w:rsidR="00693FC4" w:rsidRPr="00D525A4">
        <w:t xml:space="preserve"> assessed in the written record of the due diligence assessment</w:t>
      </w:r>
      <w:r w:rsidR="00A42818" w:rsidRPr="00D525A4">
        <w:t xml:space="preserve"> carried out</w:t>
      </w:r>
      <w:r w:rsidR="00130FEC" w:rsidRPr="00D525A4">
        <w:t xml:space="preserve"> in relation to the entry </w:t>
      </w:r>
      <w:r w:rsidR="00DC62C3" w:rsidRPr="00D525A4">
        <w:t>into the correspondent banking relationship</w:t>
      </w:r>
      <w:r w:rsidR="00693FC4" w:rsidRPr="00D525A4">
        <w:t>; and</w:t>
      </w:r>
    </w:p>
    <w:p w14:paraId="0B95A0D1" w14:textId="77777777" w:rsidR="00B01DD0" w:rsidRPr="00D525A4" w:rsidRDefault="000F7250" w:rsidP="00514D82">
      <w:pPr>
        <w:pStyle w:val="paragraph"/>
      </w:pPr>
      <w:r w:rsidRPr="00D525A4">
        <w:tab/>
        <w:t>(b)</w:t>
      </w:r>
      <w:r w:rsidRPr="00D525A4">
        <w:tab/>
      </w:r>
      <w:r w:rsidR="00693FC4" w:rsidRPr="00D525A4">
        <w:t xml:space="preserve">the </w:t>
      </w:r>
      <w:r w:rsidR="00A62627" w:rsidRPr="00D525A4">
        <w:t>appropriateness</w:t>
      </w:r>
      <w:r w:rsidR="00693FC4" w:rsidRPr="00D525A4">
        <w:t xml:space="preserve"> of the </w:t>
      </w:r>
      <w:r w:rsidR="00A3674E" w:rsidRPr="00D525A4">
        <w:t>correspondent</w:t>
      </w:r>
      <w:r w:rsidR="00693FC4" w:rsidRPr="00D525A4">
        <w:t xml:space="preserve">’s </w:t>
      </w:r>
      <w:r w:rsidR="00103EEA" w:rsidRPr="00D525A4">
        <w:t>AML/CTF</w:t>
      </w:r>
      <w:r w:rsidR="00693FC4" w:rsidRPr="00D525A4">
        <w:t xml:space="preserve"> program to manage</w:t>
      </w:r>
      <w:r w:rsidR="001732AA" w:rsidRPr="00D525A4">
        <w:t xml:space="preserve"> and mitigate</w:t>
      </w:r>
      <w:r w:rsidR="00693FC4" w:rsidRPr="00D525A4">
        <w:t xml:space="preserve"> those risks.</w:t>
      </w:r>
    </w:p>
    <w:p w14:paraId="0647216F" w14:textId="0D8BFC52" w:rsidR="00693FC4" w:rsidRPr="00D525A4" w:rsidRDefault="000F7250" w:rsidP="000F7250">
      <w:pPr>
        <w:pStyle w:val="subsection"/>
      </w:pPr>
      <w:r w:rsidRPr="00D525A4">
        <w:tab/>
        <w:t>(</w:t>
      </w:r>
      <w:r w:rsidR="00AE2A7F" w:rsidRPr="00D525A4">
        <w:t>3</w:t>
      </w:r>
      <w:r w:rsidRPr="00D525A4">
        <w:t>)</w:t>
      </w:r>
      <w:r w:rsidRPr="00D525A4">
        <w:tab/>
      </w:r>
      <w:r w:rsidR="00693FC4" w:rsidRPr="00D525A4">
        <w:t xml:space="preserve">If the </w:t>
      </w:r>
      <w:r w:rsidR="00A3674E" w:rsidRPr="00D525A4">
        <w:t>correspondent</w:t>
      </w:r>
      <w:r w:rsidR="00693FC4" w:rsidRPr="00D525A4">
        <w:t xml:space="preserve"> </w:t>
      </w:r>
      <w:r w:rsidR="006F2ABD" w:rsidRPr="00D525A4">
        <w:t xml:space="preserve">is to </w:t>
      </w:r>
      <w:r w:rsidR="00693FC4" w:rsidRPr="00D525A4">
        <w:t xml:space="preserve">maintain </w:t>
      </w:r>
      <w:r w:rsidR="00D86E27" w:rsidRPr="00D525A4">
        <w:t>payable</w:t>
      </w:r>
      <w:r w:rsidR="00D525A4">
        <w:noBreakHyphen/>
      </w:r>
      <w:r w:rsidR="00D86E27" w:rsidRPr="00D525A4">
        <w:t>through accounts</w:t>
      </w:r>
      <w:r w:rsidR="00693FC4" w:rsidRPr="00D525A4">
        <w:t xml:space="preserve">, the senior officer must </w:t>
      </w:r>
      <w:r w:rsidR="00994CBD" w:rsidRPr="00D525A4">
        <w:t xml:space="preserve">also </w:t>
      </w:r>
      <w:r w:rsidR="00B14ACD" w:rsidRPr="00D525A4">
        <w:t>have regard to the following</w:t>
      </w:r>
      <w:r w:rsidR="00693FC4" w:rsidRPr="00D525A4">
        <w:t>:</w:t>
      </w:r>
    </w:p>
    <w:p w14:paraId="71DA58F1" w14:textId="2A90B1A6" w:rsidR="00693FC4" w:rsidRPr="00D525A4" w:rsidRDefault="000F7250" w:rsidP="000F7250">
      <w:pPr>
        <w:pStyle w:val="paragraph"/>
      </w:pPr>
      <w:r w:rsidRPr="00D525A4">
        <w:tab/>
        <w:t>(a)</w:t>
      </w:r>
      <w:r w:rsidRPr="00D525A4">
        <w:tab/>
      </w:r>
      <w:r w:rsidR="00B14ACD" w:rsidRPr="00D525A4">
        <w:t xml:space="preserve">whether </w:t>
      </w:r>
      <w:r w:rsidR="00B74CB8" w:rsidRPr="00D525A4">
        <w:t xml:space="preserve">the senior officer is satisfied that </w:t>
      </w:r>
      <w:r w:rsidR="00B14ACD" w:rsidRPr="00D525A4">
        <w:t xml:space="preserve">the </w:t>
      </w:r>
      <w:r w:rsidR="009C480C" w:rsidRPr="00D525A4">
        <w:t>respondent</w:t>
      </w:r>
      <w:r w:rsidR="00816EBC" w:rsidRPr="00D525A4">
        <w:t xml:space="preserve"> will</w:t>
      </w:r>
      <w:r w:rsidR="00B14ACD" w:rsidRPr="00D525A4">
        <w:t xml:space="preserve"> </w:t>
      </w:r>
      <w:r w:rsidR="00A65323" w:rsidRPr="00D525A4">
        <w:t>undertake</w:t>
      </w:r>
      <w:r w:rsidR="00C06F0F" w:rsidRPr="00D525A4">
        <w:t xml:space="preserve"> </w:t>
      </w:r>
      <w:r w:rsidR="00A65323" w:rsidRPr="00D525A4">
        <w:t xml:space="preserve">initial </w:t>
      </w:r>
      <w:r w:rsidR="00C06F0F" w:rsidRPr="00D525A4">
        <w:t xml:space="preserve">customer due diligence and </w:t>
      </w:r>
      <w:r w:rsidR="00693FC4" w:rsidRPr="00D525A4">
        <w:t xml:space="preserve">ongoing customer due diligence in relation to customers </w:t>
      </w:r>
      <w:r w:rsidR="0093202F" w:rsidRPr="00D525A4">
        <w:t>that</w:t>
      </w:r>
      <w:r w:rsidR="00693FC4" w:rsidRPr="00D525A4">
        <w:t xml:space="preserve"> have access to the </w:t>
      </w:r>
      <w:r w:rsidR="00FD09FC" w:rsidRPr="00D525A4">
        <w:t>payable</w:t>
      </w:r>
      <w:r w:rsidR="00D525A4">
        <w:noBreakHyphen/>
      </w:r>
      <w:r w:rsidR="00FD09FC" w:rsidRPr="00D525A4">
        <w:t xml:space="preserve">through </w:t>
      </w:r>
      <w:r w:rsidR="00693FC4" w:rsidRPr="00D525A4">
        <w:t>accounts;</w:t>
      </w:r>
    </w:p>
    <w:p w14:paraId="6093098A" w14:textId="5E54ABFE" w:rsidR="000043A6" w:rsidRPr="00D525A4" w:rsidRDefault="000F7250" w:rsidP="001A74CC">
      <w:pPr>
        <w:pStyle w:val="paragraph"/>
      </w:pPr>
      <w:r w:rsidRPr="00D525A4">
        <w:tab/>
        <w:t>(b)</w:t>
      </w:r>
      <w:r w:rsidRPr="00D525A4">
        <w:tab/>
      </w:r>
      <w:r w:rsidR="00DA7C79" w:rsidRPr="00D525A4">
        <w:t xml:space="preserve">whether the </w:t>
      </w:r>
      <w:r w:rsidR="00B74CB8" w:rsidRPr="00D525A4">
        <w:t xml:space="preserve">senior officer is satisfied that the </w:t>
      </w:r>
      <w:r w:rsidR="009C480C" w:rsidRPr="00D525A4">
        <w:t>respondent</w:t>
      </w:r>
      <w:r w:rsidR="00DA7C79" w:rsidRPr="00D525A4">
        <w:t xml:space="preserve"> </w:t>
      </w:r>
      <w:r w:rsidR="00152A33" w:rsidRPr="00D525A4">
        <w:t>would be</w:t>
      </w:r>
      <w:r w:rsidR="00693FC4" w:rsidRPr="00D525A4">
        <w:t xml:space="preserve"> able to provide </w:t>
      </w:r>
      <w:r w:rsidR="003C1FAF" w:rsidRPr="00D525A4">
        <w:t xml:space="preserve">the </w:t>
      </w:r>
      <w:r w:rsidR="00A3674E" w:rsidRPr="00D525A4">
        <w:t>correspondent</w:t>
      </w:r>
      <w:r w:rsidR="00693FC4" w:rsidRPr="00D525A4">
        <w:t>, on request,</w:t>
      </w:r>
      <w:r w:rsidR="00810E7C" w:rsidRPr="00D525A4">
        <w:t xml:space="preserve"> information collected </w:t>
      </w:r>
      <w:r w:rsidR="0051427F" w:rsidRPr="00D525A4">
        <w:t>when the respondent undertakes</w:t>
      </w:r>
      <w:r w:rsidR="00810E7C" w:rsidRPr="00D525A4">
        <w:t xml:space="preserve"> initial</w:t>
      </w:r>
      <w:r w:rsidR="009B2CDB" w:rsidRPr="00D525A4">
        <w:t xml:space="preserve"> customer due diligence</w:t>
      </w:r>
      <w:r w:rsidR="0004291D" w:rsidRPr="00D525A4">
        <w:t xml:space="preserve"> and</w:t>
      </w:r>
      <w:r w:rsidR="00693FC4" w:rsidRPr="00D525A4">
        <w:t xml:space="preserve"> ongoing customer due diligence in relation to the customers that have access to </w:t>
      </w:r>
      <w:r w:rsidR="00FD09FC" w:rsidRPr="00D525A4">
        <w:t>the payable</w:t>
      </w:r>
      <w:r w:rsidR="00D525A4">
        <w:noBreakHyphen/>
      </w:r>
      <w:r w:rsidR="00FD09FC" w:rsidRPr="00D525A4">
        <w:t>through accounts</w:t>
      </w:r>
      <w:r w:rsidR="00810E7C" w:rsidRPr="00D525A4">
        <w:t xml:space="preserve"> and the reliable and independent data used to verify th</w:t>
      </w:r>
      <w:r w:rsidR="00313BD3" w:rsidRPr="00D525A4">
        <w:t>e</w:t>
      </w:r>
      <w:r w:rsidR="00810E7C" w:rsidRPr="00D525A4">
        <w:t xml:space="preserve"> information</w:t>
      </w:r>
      <w:r w:rsidR="009A13C6" w:rsidRPr="00D525A4">
        <w:t>.</w:t>
      </w:r>
    </w:p>
    <w:p w14:paraId="03E1D3DF" w14:textId="6B6D33AF" w:rsidR="004A6C00" w:rsidRPr="00D525A4" w:rsidRDefault="00270E8B" w:rsidP="004A6C00">
      <w:pPr>
        <w:pStyle w:val="ActHead3"/>
        <w:pageBreakBefore/>
      </w:pPr>
      <w:bookmarkStart w:id="146" w:name="_Toc198225030"/>
      <w:r w:rsidRPr="00D525A4">
        <w:rPr>
          <w:rStyle w:val="CharDivNo"/>
        </w:rPr>
        <w:lastRenderedPageBreak/>
        <w:t>Division 2</w:t>
      </w:r>
      <w:r w:rsidR="004A6C00" w:rsidRPr="00D525A4">
        <w:t>—</w:t>
      </w:r>
      <w:r w:rsidR="00845A39" w:rsidRPr="00D525A4">
        <w:rPr>
          <w:rStyle w:val="CharDivText"/>
        </w:rPr>
        <w:t>Requirements for o</w:t>
      </w:r>
      <w:r w:rsidR="004A6C00" w:rsidRPr="00D525A4">
        <w:rPr>
          <w:rStyle w:val="CharDivText"/>
        </w:rPr>
        <w:t xml:space="preserve">ngoing </w:t>
      </w:r>
      <w:r w:rsidR="00845A39" w:rsidRPr="00D525A4">
        <w:rPr>
          <w:rStyle w:val="CharDivText"/>
        </w:rPr>
        <w:t xml:space="preserve">due diligence </w:t>
      </w:r>
      <w:r w:rsidR="004A6C00" w:rsidRPr="00D525A4">
        <w:rPr>
          <w:rStyle w:val="CharDivText"/>
        </w:rPr>
        <w:t>assessment</w:t>
      </w:r>
      <w:r w:rsidR="00845A39" w:rsidRPr="00D525A4">
        <w:rPr>
          <w:rStyle w:val="CharDivText"/>
        </w:rPr>
        <w:t>s</w:t>
      </w:r>
      <w:bookmarkEnd w:id="146"/>
    </w:p>
    <w:p w14:paraId="0989B23C" w14:textId="1FC7B719" w:rsidR="00693FC4" w:rsidRPr="00D525A4" w:rsidRDefault="00EC097E" w:rsidP="000F7250">
      <w:pPr>
        <w:pStyle w:val="ActHead5"/>
      </w:pPr>
      <w:bookmarkStart w:id="147" w:name="_Toc198225031"/>
      <w:r w:rsidRPr="00D525A4">
        <w:rPr>
          <w:rStyle w:val="CharSectno"/>
        </w:rPr>
        <w:t>6</w:t>
      </w:r>
      <w:r w:rsidR="00D525A4">
        <w:rPr>
          <w:rStyle w:val="CharSectno"/>
        </w:rPr>
        <w:noBreakHyphen/>
      </w:r>
      <w:r w:rsidRPr="00D525A4">
        <w:rPr>
          <w:rStyle w:val="CharSectno"/>
        </w:rPr>
        <w:t>3</w:t>
      </w:r>
      <w:r w:rsidR="000F7250" w:rsidRPr="00D525A4">
        <w:t xml:space="preserve">  </w:t>
      </w:r>
      <w:r w:rsidR="00845A39" w:rsidRPr="00D525A4">
        <w:t>Requirements for o</w:t>
      </w:r>
      <w:r w:rsidR="00693FC4" w:rsidRPr="00D525A4">
        <w:t xml:space="preserve">ngoing </w:t>
      </w:r>
      <w:r w:rsidR="00845A39" w:rsidRPr="00D525A4">
        <w:t xml:space="preserve">due diligence </w:t>
      </w:r>
      <w:r w:rsidR="00693FC4" w:rsidRPr="00D525A4">
        <w:t>assessment</w:t>
      </w:r>
      <w:r w:rsidR="00845A39" w:rsidRPr="00D525A4">
        <w:t>s</w:t>
      </w:r>
      <w:bookmarkEnd w:id="147"/>
    </w:p>
    <w:p w14:paraId="02875F53" w14:textId="7C0D1E78" w:rsidR="0051372F" w:rsidRPr="00D525A4" w:rsidRDefault="000F7250" w:rsidP="004F605A">
      <w:pPr>
        <w:pStyle w:val="subsection"/>
      </w:pPr>
      <w:r w:rsidRPr="00D525A4">
        <w:tab/>
        <w:t>(1)</w:t>
      </w:r>
      <w:r w:rsidRPr="00D525A4">
        <w:tab/>
      </w:r>
      <w:r w:rsidR="002A5DD7" w:rsidRPr="00D525A4">
        <w:t xml:space="preserve">For the purposes of </w:t>
      </w:r>
      <w:r w:rsidR="0056097B" w:rsidRPr="00D525A4">
        <w:t>paragraph 9</w:t>
      </w:r>
      <w:r w:rsidR="00693FC4" w:rsidRPr="00D525A4">
        <w:t>6(3)</w:t>
      </w:r>
      <w:r w:rsidR="0024183E" w:rsidRPr="00D525A4">
        <w:t>(a)</w:t>
      </w:r>
      <w:r w:rsidR="00693FC4" w:rsidRPr="00D525A4">
        <w:t xml:space="preserve"> of the Act</w:t>
      </w:r>
      <w:r w:rsidR="003A0177" w:rsidRPr="00D525A4">
        <w:t xml:space="preserve">, this section sets out the </w:t>
      </w:r>
      <w:r w:rsidR="00B62591" w:rsidRPr="00D525A4">
        <w:t>requirements for</w:t>
      </w:r>
      <w:r w:rsidR="00C85D10" w:rsidRPr="00D525A4">
        <w:t xml:space="preserve"> the </w:t>
      </w:r>
      <w:r w:rsidR="00F95524" w:rsidRPr="00D525A4">
        <w:t>due diligence assessments that a financial institution</w:t>
      </w:r>
      <w:r w:rsidR="004F605A" w:rsidRPr="00D525A4">
        <w:t xml:space="preserve"> (the </w:t>
      </w:r>
      <w:r w:rsidR="00C421C0" w:rsidRPr="00D525A4">
        <w:rPr>
          <w:b/>
          <w:i/>
        </w:rPr>
        <w:t>correspondent</w:t>
      </w:r>
      <w:r w:rsidR="004F605A" w:rsidRPr="00D525A4">
        <w:t>)</w:t>
      </w:r>
      <w:r w:rsidR="00693FC4" w:rsidRPr="00D525A4">
        <w:t xml:space="preserve"> must </w:t>
      </w:r>
      <w:r w:rsidR="00563A6B" w:rsidRPr="00D525A4">
        <w:t>carry out</w:t>
      </w:r>
      <w:r w:rsidR="00693FC4" w:rsidRPr="00D525A4">
        <w:t xml:space="preserve"> </w:t>
      </w:r>
      <w:r w:rsidR="0051372F" w:rsidRPr="00D525A4">
        <w:t xml:space="preserve">if </w:t>
      </w:r>
      <w:r w:rsidR="00883EFD" w:rsidRPr="00D525A4">
        <w:t>it is</w:t>
      </w:r>
      <w:r w:rsidR="0051372F" w:rsidRPr="00D525A4">
        <w:t xml:space="preserve"> in a correspondent banking relationship with another financial institution </w:t>
      </w:r>
      <w:r w:rsidR="009C480C" w:rsidRPr="00D525A4">
        <w:t xml:space="preserve">(the </w:t>
      </w:r>
      <w:r w:rsidR="009C480C" w:rsidRPr="00D525A4">
        <w:rPr>
          <w:b/>
          <w:i/>
        </w:rPr>
        <w:t>respondent</w:t>
      </w:r>
      <w:r w:rsidR="009C480C" w:rsidRPr="00D525A4">
        <w:t xml:space="preserve">) </w:t>
      </w:r>
      <w:r w:rsidR="0051372F" w:rsidRPr="00D525A4">
        <w:t>that involves a vostro account</w:t>
      </w:r>
      <w:r w:rsidR="00883EFD" w:rsidRPr="00D525A4">
        <w:t>.</w:t>
      </w:r>
    </w:p>
    <w:p w14:paraId="1E60971F" w14:textId="77777777" w:rsidR="000F7250" w:rsidRPr="00D525A4" w:rsidRDefault="00883EFD" w:rsidP="004F605A">
      <w:pPr>
        <w:pStyle w:val="subsection"/>
      </w:pPr>
      <w:r w:rsidRPr="00D525A4">
        <w:tab/>
        <w:t>(2)</w:t>
      </w:r>
      <w:r w:rsidRPr="00D525A4">
        <w:tab/>
      </w:r>
      <w:r w:rsidR="001D3FBB" w:rsidRPr="00D525A4">
        <w:t>The due diligence assessment</w:t>
      </w:r>
      <w:r w:rsidR="00C85D10" w:rsidRPr="00D525A4">
        <w:t>s</w:t>
      </w:r>
      <w:r w:rsidR="001D3FBB" w:rsidRPr="00D525A4">
        <w:t xml:space="preserve"> required to be carried out </w:t>
      </w:r>
      <w:r w:rsidR="00C85D10" w:rsidRPr="00D525A4">
        <w:t>are</w:t>
      </w:r>
      <w:r w:rsidR="001D3FBB" w:rsidRPr="00D525A4">
        <w:t xml:space="preserve"> assessment</w:t>
      </w:r>
      <w:r w:rsidR="00C85D10" w:rsidRPr="00D525A4">
        <w:t>s</w:t>
      </w:r>
      <w:r w:rsidR="001D3FBB" w:rsidRPr="00D525A4">
        <w:t xml:space="preserve"> of the</w:t>
      </w:r>
      <w:r w:rsidR="00FF5A4A" w:rsidRPr="00D525A4">
        <w:t xml:space="preserve"> risks of</w:t>
      </w:r>
      <w:r w:rsidR="001D3FBB" w:rsidRPr="00D525A4">
        <w:t xml:space="preserve"> money laundering, financing of terrorism</w:t>
      </w:r>
      <w:r w:rsidR="006A6C83" w:rsidRPr="00D525A4">
        <w:t>, proliferation financing</w:t>
      </w:r>
      <w:r w:rsidR="001D3FBB" w:rsidRPr="00D525A4">
        <w:t xml:space="preserve"> and other serious crime</w:t>
      </w:r>
      <w:r w:rsidR="00FF5A4A" w:rsidRPr="00D525A4">
        <w:t xml:space="preserve">s </w:t>
      </w:r>
      <w:r w:rsidR="001D3FBB" w:rsidRPr="00D525A4">
        <w:t>associated with the correspondent banking relationship</w:t>
      </w:r>
      <w:r w:rsidR="00693FC4" w:rsidRPr="00D525A4">
        <w:t>.</w:t>
      </w:r>
    </w:p>
    <w:p w14:paraId="7A923AEE" w14:textId="0E51057E" w:rsidR="00E85292" w:rsidRPr="00D525A4" w:rsidRDefault="000F7250" w:rsidP="002D0993">
      <w:pPr>
        <w:pStyle w:val="subsection"/>
      </w:pPr>
      <w:r w:rsidRPr="00D525A4">
        <w:tab/>
        <w:t>(3)</w:t>
      </w:r>
      <w:r w:rsidRPr="00D525A4">
        <w:tab/>
      </w:r>
      <w:r w:rsidR="003B3D8E" w:rsidRPr="00D525A4">
        <w:t xml:space="preserve">In </w:t>
      </w:r>
      <w:r w:rsidR="0087303A" w:rsidRPr="00D525A4">
        <w:t>carrying out the due diligence assessments, t</w:t>
      </w:r>
      <w:r w:rsidR="00693FC4" w:rsidRPr="00D525A4">
        <w:t xml:space="preserve">he </w:t>
      </w:r>
      <w:r w:rsidR="00C421C0" w:rsidRPr="00D525A4">
        <w:t>correspondent</w:t>
      </w:r>
      <w:r w:rsidR="00693FC4" w:rsidRPr="00D525A4">
        <w:t xml:space="preserve"> must consider</w:t>
      </w:r>
      <w:r w:rsidR="00EF3E06" w:rsidRPr="00D525A4">
        <w:t xml:space="preserve"> </w:t>
      </w:r>
      <w:r w:rsidR="00CD4981" w:rsidRPr="00D525A4">
        <w:t>the matters set out in paragraph</w:t>
      </w:r>
      <w:r w:rsidR="003134D4" w:rsidRPr="00D525A4">
        <w:t>s</w:t>
      </w:r>
      <w:r w:rsidR="00CD4981" w:rsidRPr="00D525A4">
        <w:t xml:space="preserve"> </w:t>
      </w:r>
      <w:r w:rsidR="00EC097E" w:rsidRPr="00D525A4">
        <w:t>6</w:t>
      </w:r>
      <w:r w:rsidR="00D525A4">
        <w:noBreakHyphen/>
      </w:r>
      <w:r w:rsidR="00EC097E" w:rsidRPr="00D525A4">
        <w:t>1</w:t>
      </w:r>
      <w:r w:rsidR="00DC5C37" w:rsidRPr="00D525A4">
        <w:t>(3)</w:t>
      </w:r>
      <w:r w:rsidR="00CD4981" w:rsidRPr="00D525A4">
        <w:t>(a)</w:t>
      </w:r>
      <w:r w:rsidR="00EF3E06" w:rsidRPr="00D525A4">
        <w:t xml:space="preserve"> to (g).</w:t>
      </w:r>
    </w:p>
    <w:p w14:paraId="56EBB5EB" w14:textId="554C5FE1" w:rsidR="006179B8" w:rsidRPr="00D525A4" w:rsidRDefault="00DE38F4" w:rsidP="00DE38F4">
      <w:pPr>
        <w:pStyle w:val="notetext"/>
      </w:pPr>
      <w:r w:rsidRPr="00D525A4">
        <w:t>Note:</w:t>
      </w:r>
      <w:r w:rsidRPr="00D525A4">
        <w:tab/>
        <w:t xml:space="preserve">Paragraphs </w:t>
      </w:r>
      <w:r w:rsidR="00EC097E" w:rsidRPr="00D525A4">
        <w:t>6</w:t>
      </w:r>
      <w:r w:rsidR="00D525A4">
        <w:noBreakHyphen/>
      </w:r>
      <w:r w:rsidR="00EC097E" w:rsidRPr="00D525A4">
        <w:t>1</w:t>
      </w:r>
      <w:r w:rsidRPr="00D525A4">
        <w:t xml:space="preserve">(3)(a) to (g) set out matters that </w:t>
      </w:r>
      <w:r w:rsidR="002B3EBF" w:rsidRPr="00D525A4">
        <w:t xml:space="preserve">the correspondent </w:t>
      </w:r>
      <w:r w:rsidRPr="00D525A4">
        <w:t xml:space="preserve">must consider </w:t>
      </w:r>
      <w:r w:rsidR="00EE688C" w:rsidRPr="00D525A4">
        <w:t xml:space="preserve">in carrying out a due diligence assessment </w:t>
      </w:r>
      <w:r w:rsidR="00225128" w:rsidRPr="00D525A4">
        <w:t>in relation to an entry into a correspondent banking relationship with the respondent that will involve a vostro account</w:t>
      </w:r>
      <w:r w:rsidR="002C7802" w:rsidRPr="00D525A4">
        <w:t>.</w:t>
      </w:r>
    </w:p>
    <w:p w14:paraId="2BAEE325" w14:textId="6E0721E9" w:rsidR="00693FC4" w:rsidRPr="00D525A4" w:rsidRDefault="00EC097E" w:rsidP="00BE4B2E">
      <w:pPr>
        <w:pStyle w:val="ActHead5"/>
      </w:pPr>
      <w:bookmarkStart w:id="148" w:name="_Toc198225032"/>
      <w:r w:rsidRPr="00D525A4">
        <w:rPr>
          <w:rStyle w:val="CharSectno"/>
        </w:rPr>
        <w:t>6</w:t>
      </w:r>
      <w:r w:rsidR="00D525A4">
        <w:rPr>
          <w:rStyle w:val="CharSectno"/>
        </w:rPr>
        <w:noBreakHyphen/>
      </w:r>
      <w:r w:rsidRPr="00D525A4">
        <w:rPr>
          <w:rStyle w:val="CharSectno"/>
        </w:rPr>
        <w:t>4</w:t>
      </w:r>
      <w:r w:rsidR="00BE4B2E" w:rsidRPr="00D525A4">
        <w:t xml:space="preserve">  </w:t>
      </w:r>
      <w:r w:rsidR="00693FC4" w:rsidRPr="00D525A4">
        <w:t xml:space="preserve">Timing of ongoing </w:t>
      </w:r>
      <w:r w:rsidR="00965423" w:rsidRPr="00D525A4">
        <w:t xml:space="preserve">due diligence </w:t>
      </w:r>
      <w:r w:rsidR="00693FC4" w:rsidRPr="00D525A4">
        <w:t>assessments</w:t>
      </w:r>
      <w:bookmarkEnd w:id="148"/>
    </w:p>
    <w:p w14:paraId="6F4CD60F" w14:textId="049752A7" w:rsidR="000B6153" w:rsidRPr="00D525A4" w:rsidRDefault="000F7250" w:rsidP="000F7250">
      <w:pPr>
        <w:pStyle w:val="subsection"/>
      </w:pPr>
      <w:r w:rsidRPr="00D525A4">
        <w:tab/>
        <w:t>(</w:t>
      </w:r>
      <w:r w:rsidR="000B6153" w:rsidRPr="00D525A4">
        <w:t>1</w:t>
      </w:r>
      <w:r w:rsidRPr="00D525A4">
        <w:t>)</w:t>
      </w:r>
      <w:r w:rsidRPr="00D525A4">
        <w:tab/>
      </w:r>
      <w:r w:rsidR="000B6153" w:rsidRPr="00D525A4">
        <w:t xml:space="preserve">For the purposes of </w:t>
      </w:r>
      <w:r w:rsidR="0056097B" w:rsidRPr="00D525A4">
        <w:t>paragraph 9</w:t>
      </w:r>
      <w:r w:rsidR="000B6153" w:rsidRPr="00D525A4">
        <w:t xml:space="preserve">6(3)(b), this section sets out when </w:t>
      </w:r>
      <w:r w:rsidR="002C23F0" w:rsidRPr="00D525A4">
        <w:t xml:space="preserve">a financial institution (the </w:t>
      </w:r>
      <w:r w:rsidR="00C421C0" w:rsidRPr="00D525A4">
        <w:rPr>
          <w:b/>
          <w:i/>
        </w:rPr>
        <w:t>correspondent</w:t>
      </w:r>
      <w:r w:rsidR="002C23F0" w:rsidRPr="00D525A4">
        <w:t>) must carry out due diligence assessments if it is in a correspondent banking relationship with another financial institution that involves a vostro account.</w:t>
      </w:r>
    </w:p>
    <w:p w14:paraId="71BCF28F" w14:textId="77777777" w:rsidR="002F1880" w:rsidRPr="00D525A4" w:rsidRDefault="002C23F0" w:rsidP="000F7250">
      <w:pPr>
        <w:pStyle w:val="subsection"/>
      </w:pPr>
      <w:r w:rsidRPr="00D525A4">
        <w:tab/>
        <w:t>(2)</w:t>
      </w:r>
      <w:r w:rsidRPr="00D525A4">
        <w:tab/>
      </w:r>
      <w:r w:rsidR="00693FC4" w:rsidRPr="00D525A4">
        <w:t xml:space="preserve">The </w:t>
      </w:r>
      <w:r w:rsidR="00C421C0" w:rsidRPr="00D525A4">
        <w:t>correspondent</w:t>
      </w:r>
      <w:r w:rsidR="007874F9" w:rsidRPr="00D525A4">
        <w:t xml:space="preserve"> </w:t>
      </w:r>
      <w:r w:rsidR="00693FC4" w:rsidRPr="00D525A4">
        <w:t xml:space="preserve">must </w:t>
      </w:r>
      <w:r w:rsidR="00563A6B" w:rsidRPr="00D525A4">
        <w:t>carry out</w:t>
      </w:r>
      <w:r w:rsidR="00693FC4" w:rsidRPr="00D525A4">
        <w:t xml:space="preserve"> </w:t>
      </w:r>
      <w:r w:rsidR="00541242" w:rsidRPr="00D525A4">
        <w:t xml:space="preserve">due diligence </w:t>
      </w:r>
      <w:r w:rsidR="00693FC4" w:rsidRPr="00D525A4">
        <w:t>assessments</w:t>
      </w:r>
      <w:r w:rsidR="009F66A4" w:rsidRPr="00D525A4">
        <w:t>:</w:t>
      </w:r>
    </w:p>
    <w:p w14:paraId="78B2548D" w14:textId="77777777" w:rsidR="00693FC4" w:rsidRPr="00D525A4" w:rsidRDefault="002F1880" w:rsidP="002F1880">
      <w:pPr>
        <w:pStyle w:val="paragraph"/>
      </w:pPr>
      <w:r w:rsidRPr="00D525A4">
        <w:tab/>
        <w:t>(a)</w:t>
      </w:r>
      <w:r w:rsidRPr="00D525A4">
        <w:tab/>
      </w:r>
      <w:r w:rsidR="00693FC4" w:rsidRPr="00D525A4">
        <w:t xml:space="preserve">at times determined appropriate by the </w:t>
      </w:r>
      <w:r w:rsidR="00C421C0" w:rsidRPr="00D525A4">
        <w:t>correspondent</w:t>
      </w:r>
      <w:r w:rsidR="00693FC4" w:rsidRPr="00D525A4">
        <w:t>, based on consideration of:</w:t>
      </w:r>
    </w:p>
    <w:p w14:paraId="6C62A81F" w14:textId="77777777" w:rsidR="000F7250" w:rsidRPr="00D525A4" w:rsidRDefault="000F7250" w:rsidP="002F1880">
      <w:pPr>
        <w:pStyle w:val="paragraphsub"/>
      </w:pPr>
      <w:r w:rsidRPr="00D525A4">
        <w:tab/>
        <w:t>(</w:t>
      </w:r>
      <w:r w:rsidR="002F1880" w:rsidRPr="00D525A4">
        <w:t>i</w:t>
      </w:r>
      <w:r w:rsidRPr="00D525A4">
        <w:t>)</w:t>
      </w:r>
      <w:r w:rsidRPr="00D525A4">
        <w:tab/>
      </w:r>
      <w:r w:rsidR="00693FC4" w:rsidRPr="00D525A4">
        <w:t xml:space="preserve">the level of </w:t>
      </w:r>
      <w:r w:rsidR="00233FC5" w:rsidRPr="00D525A4">
        <w:t xml:space="preserve">risk of </w:t>
      </w:r>
      <w:r w:rsidR="00693FC4" w:rsidRPr="00D525A4">
        <w:t>money laundering, financing of terrorism</w:t>
      </w:r>
      <w:r w:rsidR="00BB6D37" w:rsidRPr="00D525A4">
        <w:t>, proliferation financing</w:t>
      </w:r>
      <w:r w:rsidR="00693FC4" w:rsidRPr="00D525A4">
        <w:t xml:space="preserve"> </w:t>
      </w:r>
      <w:r w:rsidR="00541242" w:rsidRPr="00D525A4">
        <w:t>and</w:t>
      </w:r>
      <w:r w:rsidR="00693FC4" w:rsidRPr="00D525A4">
        <w:t xml:space="preserve"> other serious crime</w:t>
      </w:r>
      <w:r w:rsidR="00F8682A" w:rsidRPr="00D525A4">
        <w:t>s</w:t>
      </w:r>
      <w:r w:rsidR="00693FC4" w:rsidRPr="00D525A4">
        <w:t xml:space="preserve"> </w:t>
      </w:r>
      <w:r w:rsidR="009B3D13" w:rsidRPr="00D525A4">
        <w:t>associated with</w:t>
      </w:r>
      <w:r w:rsidR="00693FC4" w:rsidRPr="00D525A4">
        <w:t xml:space="preserve"> the correspondent banking relationship; and</w:t>
      </w:r>
    </w:p>
    <w:p w14:paraId="1FD893B1" w14:textId="77777777" w:rsidR="00693FC4" w:rsidRPr="00D525A4" w:rsidRDefault="000F7250" w:rsidP="002F1880">
      <w:pPr>
        <w:pStyle w:val="paragraphsub"/>
      </w:pPr>
      <w:r w:rsidRPr="00D525A4">
        <w:tab/>
        <w:t>(</w:t>
      </w:r>
      <w:r w:rsidR="002F1880" w:rsidRPr="00D525A4">
        <w:t>ii</w:t>
      </w:r>
      <w:r w:rsidRPr="00D525A4">
        <w:t>)</w:t>
      </w:r>
      <w:r w:rsidRPr="00D525A4">
        <w:tab/>
      </w:r>
      <w:r w:rsidR="00693FC4" w:rsidRPr="00D525A4">
        <w:t>any material change in respect of those risks;</w:t>
      </w:r>
      <w:r w:rsidR="002F1880" w:rsidRPr="00D525A4">
        <w:t xml:space="preserve"> and</w:t>
      </w:r>
    </w:p>
    <w:p w14:paraId="52A6AC77" w14:textId="77777777" w:rsidR="00B42B42" w:rsidRPr="00D525A4" w:rsidRDefault="002F1880" w:rsidP="002F1880">
      <w:pPr>
        <w:pStyle w:val="paragraph"/>
      </w:pPr>
      <w:r w:rsidRPr="00D525A4">
        <w:tab/>
        <w:t>(b)</w:t>
      </w:r>
      <w:r w:rsidRPr="00D525A4">
        <w:tab/>
        <w:t>in any event—</w:t>
      </w:r>
      <w:r w:rsidR="00693FC4" w:rsidRPr="00D525A4">
        <w:t xml:space="preserve">at least every </w:t>
      </w:r>
      <w:r w:rsidR="00DC119F" w:rsidRPr="00D525A4">
        <w:t>2</w:t>
      </w:r>
      <w:r w:rsidR="00693FC4" w:rsidRPr="00D525A4">
        <w:t xml:space="preserve"> years</w:t>
      </w:r>
      <w:r w:rsidR="000F7250" w:rsidRPr="00D525A4">
        <w:t>.</w:t>
      </w:r>
    </w:p>
    <w:p w14:paraId="5F332FCA" w14:textId="25B60809" w:rsidR="0038773C" w:rsidRPr="00D525A4" w:rsidRDefault="0010391B" w:rsidP="00D86399">
      <w:pPr>
        <w:pStyle w:val="ActHead2"/>
        <w:pageBreakBefore/>
      </w:pPr>
      <w:bookmarkStart w:id="149" w:name="_Toc198225033"/>
      <w:r w:rsidRPr="00D525A4">
        <w:rPr>
          <w:rStyle w:val="CharPartNo"/>
        </w:rPr>
        <w:lastRenderedPageBreak/>
        <w:t>Part 7</w:t>
      </w:r>
      <w:r w:rsidR="0038773C" w:rsidRPr="00D525A4">
        <w:t>—</w:t>
      </w:r>
      <w:r w:rsidR="0038773C" w:rsidRPr="00D525A4">
        <w:rPr>
          <w:rStyle w:val="CharPartText"/>
        </w:rPr>
        <w:t>Transfers of value</w:t>
      </w:r>
      <w:bookmarkEnd w:id="149"/>
    </w:p>
    <w:p w14:paraId="49BD3B10" w14:textId="2923E557" w:rsidR="00F47DAA" w:rsidRPr="00D525A4" w:rsidRDefault="00270E8B" w:rsidP="008117D4">
      <w:pPr>
        <w:pStyle w:val="ActHead3"/>
      </w:pPr>
      <w:bookmarkStart w:id="150" w:name="_Toc198225034"/>
      <w:r w:rsidRPr="00D525A4">
        <w:rPr>
          <w:rStyle w:val="CharDivNo"/>
        </w:rPr>
        <w:t>Division 1</w:t>
      </w:r>
      <w:r w:rsidR="00F47DAA" w:rsidRPr="00D525A4">
        <w:t>—</w:t>
      </w:r>
      <w:r w:rsidR="00F47DAA" w:rsidRPr="00D525A4">
        <w:rPr>
          <w:rStyle w:val="CharDivText"/>
        </w:rPr>
        <w:t>Ordering institutions and beneficiary institutions</w:t>
      </w:r>
      <w:bookmarkEnd w:id="150"/>
    </w:p>
    <w:p w14:paraId="7B8FB71D" w14:textId="608DE631" w:rsidR="00F47DAA" w:rsidRPr="00D525A4" w:rsidRDefault="00EC097E" w:rsidP="00F47DAA">
      <w:pPr>
        <w:pStyle w:val="ActHead5"/>
      </w:pPr>
      <w:bookmarkStart w:id="151" w:name="_Toc198225035"/>
      <w:r w:rsidRPr="00D525A4">
        <w:rPr>
          <w:rStyle w:val="CharSectno"/>
        </w:rPr>
        <w:t>7</w:t>
      </w:r>
      <w:r w:rsidR="00D525A4">
        <w:rPr>
          <w:rStyle w:val="CharSectno"/>
        </w:rPr>
        <w:noBreakHyphen/>
      </w:r>
      <w:r w:rsidRPr="00D525A4">
        <w:rPr>
          <w:rStyle w:val="CharSectno"/>
        </w:rPr>
        <w:t>1</w:t>
      </w:r>
      <w:r w:rsidR="00F47DAA" w:rsidRPr="00D525A4">
        <w:t xml:space="preserve">  </w:t>
      </w:r>
      <w:r w:rsidR="00440C37" w:rsidRPr="00D525A4">
        <w:t xml:space="preserve">Determination of </w:t>
      </w:r>
      <w:r w:rsidR="006E0307" w:rsidRPr="00D525A4">
        <w:t>who is</w:t>
      </w:r>
      <w:r w:rsidR="00440C37" w:rsidRPr="00D525A4">
        <w:t xml:space="preserve"> an </w:t>
      </w:r>
      <w:r w:rsidR="00440C37" w:rsidRPr="00D525A4">
        <w:rPr>
          <w:i/>
        </w:rPr>
        <w:t>ordering institution</w:t>
      </w:r>
      <w:bookmarkEnd w:id="151"/>
    </w:p>
    <w:p w14:paraId="5370DFBA" w14:textId="36B43A1B" w:rsidR="00440C37" w:rsidRPr="00D525A4" w:rsidRDefault="00440C37" w:rsidP="00440C37">
      <w:pPr>
        <w:pStyle w:val="subsection"/>
      </w:pPr>
      <w:r w:rsidRPr="00D525A4">
        <w:tab/>
        <w:t>(1)</w:t>
      </w:r>
      <w:r w:rsidRPr="00D525A4">
        <w:tab/>
        <w:t xml:space="preserve">For the purposes of </w:t>
      </w:r>
      <w:r w:rsidR="0013261E" w:rsidRPr="00D525A4">
        <w:t>sub</w:t>
      </w:r>
      <w:r w:rsidR="0010391B" w:rsidRPr="00D525A4">
        <w:t>section 6</w:t>
      </w:r>
      <w:r w:rsidRPr="00D525A4">
        <w:t xml:space="preserve">3A(1) of the Act, this section provides for the determination of whether a person is an </w:t>
      </w:r>
      <w:r w:rsidRPr="00D525A4">
        <w:rPr>
          <w:b/>
          <w:i/>
        </w:rPr>
        <w:t>ordering institution</w:t>
      </w:r>
      <w:r w:rsidRPr="00D525A4">
        <w:t>.</w:t>
      </w:r>
    </w:p>
    <w:p w14:paraId="2C43B6B7" w14:textId="393BBCC1" w:rsidR="0057412B" w:rsidRPr="00D525A4" w:rsidRDefault="0057412B" w:rsidP="0057412B">
      <w:pPr>
        <w:pStyle w:val="notetext"/>
      </w:pPr>
      <w:r w:rsidRPr="00D525A4">
        <w:t>Note:</w:t>
      </w:r>
      <w:r w:rsidRPr="00D525A4">
        <w:tab/>
      </w:r>
      <w:r w:rsidR="00FE1FDA" w:rsidRPr="00D525A4">
        <w:t>Sub</w:t>
      </w:r>
      <w:r w:rsidR="0010391B" w:rsidRPr="00D525A4">
        <w:t>section 6</w:t>
      </w:r>
      <w:r w:rsidRPr="00D525A4">
        <w:t xml:space="preserve">3A(4) </w:t>
      </w:r>
      <w:r w:rsidR="00AD29E5" w:rsidRPr="00D525A4">
        <w:t xml:space="preserve">of the Act </w:t>
      </w:r>
      <w:r w:rsidR="00183453" w:rsidRPr="00D525A4">
        <w:t xml:space="preserve">sets out circumstances in which a person is not </w:t>
      </w:r>
      <w:r w:rsidR="001E1899" w:rsidRPr="00D525A4">
        <w:t xml:space="preserve">an </w:t>
      </w:r>
      <w:r w:rsidR="001E1899" w:rsidRPr="00D525A4">
        <w:rPr>
          <w:b/>
          <w:i/>
        </w:rPr>
        <w:t>ordering institution</w:t>
      </w:r>
      <w:r w:rsidR="001E1899" w:rsidRPr="00D525A4">
        <w:t>.</w:t>
      </w:r>
    </w:p>
    <w:p w14:paraId="00D7F69B" w14:textId="77777777" w:rsidR="00E60602" w:rsidRPr="00D525A4" w:rsidRDefault="00440C37" w:rsidP="00440C37">
      <w:pPr>
        <w:pStyle w:val="subsection"/>
      </w:pPr>
      <w:r w:rsidRPr="00D525A4">
        <w:tab/>
        <w:t>(2)</w:t>
      </w:r>
      <w:r w:rsidRPr="00D525A4">
        <w:tab/>
        <w:t>A person</w:t>
      </w:r>
      <w:r w:rsidR="006F71C8" w:rsidRPr="00D525A4">
        <w:t xml:space="preserve"> is an </w:t>
      </w:r>
      <w:r w:rsidR="006F71C8" w:rsidRPr="00D525A4">
        <w:rPr>
          <w:b/>
          <w:i/>
        </w:rPr>
        <w:t>ordering institution</w:t>
      </w:r>
      <w:r w:rsidR="00E60602" w:rsidRPr="00D525A4">
        <w:rPr>
          <w:b/>
          <w:i/>
        </w:rPr>
        <w:t xml:space="preserve"> </w:t>
      </w:r>
      <w:r w:rsidR="006F71C8" w:rsidRPr="00D525A4">
        <w:t>if</w:t>
      </w:r>
      <w:r w:rsidR="00E60602" w:rsidRPr="00D525A4">
        <w:t>:</w:t>
      </w:r>
    </w:p>
    <w:p w14:paraId="23135FD3" w14:textId="77777777" w:rsidR="00E60602" w:rsidRPr="00D525A4" w:rsidRDefault="00E60602" w:rsidP="00E60602">
      <w:pPr>
        <w:pStyle w:val="paragraph"/>
      </w:pPr>
      <w:r w:rsidRPr="00D525A4">
        <w:tab/>
        <w:t>(a)</w:t>
      </w:r>
      <w:r w:rsidRPr="00D525A4">
        <w:tab/>
        <w:t xml:space="preserve">the person accepts an instruction </w:t>
      </w:r>
      <w:r w:rsidR="006F71C8" w:rsidRPr="00D525A4">
        <w:t xml:space="preserve">for </w:t>
      </w:r>
      <w:r w:rsidRPr="00D525A4">
        <w:t>a</w:t>
      </w:r>
      <w:r w:rsidR="006F71C8" w:rsidRPr="00D525A4">
        <w:t xml:space="preserve"> transfer</w:t>
      </w:r>
      <w:r w:rsidRPr="00D525A4">
        <w:t xml:space="preserve"> of value on behalf of a payer; and</w:t>
      </w:r>
    </w:p>
    <w:p w14:paraId="495044A6" w14:textId="315633F5" w:rsidR="006F71C8" w:rsidRPr="00D525A4" w:rsidRDefault="00E60602" w:rsidP="00522826">
      <w:pPr>
        <w:pStyle w:val="paragraph"/>
      </w:pPr>
      <w:r w:rsidRPr="00D525A4">
        <w:tab/>
        <w:t>(b)</w:t>
      </w:r>
      <w:r w:rsidRPr="00D525A4">
        <w:tab/>
        <w:t>the person does so in the course of carrying on a business</w:t>
      </w:r>
      <w:r w:rsidR="00F2161F" w:rsidRPr="00D525A4">
        <w:t>.</w:t>
      </w:r>
    </w:p>
    <w:p w14:paraId="4142EE68" w14:textId="54602749" w:rsidR="007354E2" w:rsidRPr="00D525A4" w:rsidRDefault="0019290E" w:rsidP="0019290E">
      <w:pPr>
        <w:pStyle w:val="subsection"/>
      </w:pPr>
      <w:r w:rsidRPr="00D525A4">
        <w:tab/>
        <w:t>(3)</w:t>
      </w:r>
      <w:r w:rsidRPr="00D525A4">
        <w:tab/>
      </w:r>
      <w:r w:rsidR="007354E2" w:rsidRPr="00D525A4">
        <w:t xml:space="preserve">Circumstances in which a person </w:t>
      </w:r>
      <w:r w:rsidR="00E76462" w:rsidRPr="00D525A4">
        <w:t>may be</w:t>
      </w:r>
      <w:r w:rsidR="007354E2" w:rsidRPr="00D525A4">
        <w:t xml:space="preserve"> an ordering institution under </w:t>
      </w:r>
      <w:r w:rsidR="009F59ED" w:rsidRPr="00D525A4">
        <w:t>subsection (</w:t>
      </w:r>
      <w:r w:rsidR="007354E2" w:rsidRPr="00D525A4">
        <w:t>2) of this section include the following:</w:t>
      </w:r>
    </w:p>
    <w:p w14:paraId="70B3CFDF" w14:textId="1E75EEF2" w:rsidR="0019290E" w:rsidRPr="00D525A4" w:rsidRDefault="0019290E" w:rsidP="0019290E">
      <w:pPr>
        <w:pStyle w:val="paragraph"/>
      </w:pPr>
      <w:r w:rsidRPr="00D525A4">
        <w:tab/>
        <w:t>(a)</w:t>
      </w:r>
      <w:r w:rsidRPr="00D525A4">
        <w:tab/>
        <w:t>the person receives the value that is to be transferred from the payer or a person acting on behalf of the payer;</w:t>
      </w:r>
    </w:p>
    <w:p w14:paraId="3D3A8138" w14:textId="5D4AB835" w:rsidR="0019290E" w:rsidRPr="00D525A4" w:rsidRDefault="0019290E" w:rsidP="0019290E">
      <w:pPr>
        <w:pStyle w:val="paragraph"/>
      </w:pPr>
      <w:r w:rsidRPr="00D525A4">
        <w:tab/>
        <w:t>(b)</w:t>
      </w:r>
      <w:r w:rsidRPr="00D525A4">
        <w:tab/>
        <w:t>the person holds the value to be transferred in an account provided to the payer or otherwise on deposit from the payer (including in a virtual asset wallet);</w:t>
      </w:r>
    </w:p>
    <w:p w14:paraId="087C07B5" w14:textId="3EEF0596" w:rsidR="0019290E" w:rsidRPr="00D525A4" w:rsidRDefault="0019290E" w:rsidP="0019290E">
      <w:pPr>
        <w:pStyle w:val="paragraph"/>
      </w:pPr>
      <w:r w:rsidRPr="00D525A4">
        <w:tab/>
        <w:t>(c)</w:t>
      </w:r>
      <w:r w:rsidRPr="00D525A4">
        <w:tab/>
        <w:t>the person is authorised under an arrangement with the payer to transfer the value from a third</w:t>
      </w:r>
      <w:r w:rsidR="00D525A4">
        <w:noBreakHyphen/>
      </w:r>
      <w:r w:rsidRPr="00D525A4">
        <w:t>party deposit</w:t>
      </w:r>
      <w:r w:rsidR="00D525A4">
        <w:noBreakHyphen/>
      </w:r>
      <w:r w:rsidRPr="00D525A4">
        <w:t>taker or credit provider;</w:t>
      </w:r>
    </w:p>
    <w:p w14:paraId="34C2F340" w14:textId="5B01A7CF" w:rsidR="0019290E" w:rsidRPr="00D525A4" w:rsidRDefault="0019290E" w:rsidP="0019290E">
      <w:pPr>
        <w:pStyle w:val="paragraph"/>
      </w:pPr>
      <w:r w:rsidRPr="00D525A4">
        <w:tab/>
        <w:t>(d)</w:t>
      </w:r>
      <w:r w:rsidRPr="00D525A4">
        <w:tab/>
        <w:t>the person arranges for the transfer of value from the payer under an offsetting arrangement with the beneficiary institution.</w:t>
      </w:r>
    </w:p>
    <w:p w14:paraId="58BFD890" w14:textId="5AAE0398" w:rsidR="0019290E" w:rsidRPr="00D525A4" w:rsidRDefault="007354E2" w:rsidP="002E66AC">
      <w:pPr>
        <w:pStyle w:val="subsection"/>
      </w:pPr>
      <w:r w:rsidRPr="00D525A4">
        <w:tab/>
        <w:t>(4)</w:t>
      </w:r>
      <w:r w:rsidRPr="00D525A4">
        <w:tab/>
      </w:r>
      <w:r w:rsidR="007E505A" w:rsidRPr="00D525A4">
        <w:t xml:space="preserve">To avoid doubt, </w:t>
      </w:r>
      <w:r w:rsidR="009F59ED" w:rsidRPr="00D525A4">
        <w:t>subsection (</w:t>
      </w:r>
      <w:r w:rsidRPr="00D525A4">
        <w:t xml:space="preserve">3) does not affect the requirement for a person to satisfy </w:t>
      </w:r>
      <w:r w:rsidR="009F59ED" w:rsidRPr="00D525A4">
        <w:t>subsection (</w:t>
      </w:r>
      <w:r w:rsidRPr="00D525A4">
        <w:t>2) to be an ordering institution.</w:t>
      </w:r>
    </w:p>
    <w:p w14:paraId="2611F7D1" w14:textId="54DD8137" w:rsidR="006E0307" w:rsidRPr="00D525A4" w:rsidRDefault="00EC097E" w:rsidP="006E0307">
      <w:pPr>
        <w:pStyle w:val="ActHead5"/>
      </w:pPr>
      <w:bookmarkStart w:id="152" w:name="_Toc198225036"/>
      <w:r w:rsidRPr="00D525A4">
        <w:rPr>
          <w:rStyle w:val="CharSectno"/>
        </w:rPr>
        <w:t>7</w:t>
      </w:r>
      <w:r w:rsidR="00D525A4">
        <w:rPr>
          <w:rStyle w:val="CharSectno"/>
        </w:rPr>
        <w:noBreakHyphen/>
      </w:r>
      <w:r w:rsidRPr="00D525A4">
        <w:rPr>
          <w:rStyle w:val="CharSectno"/>
        </w:rPr>
        <w:t>2</w:t>
      </w:r>
      <w:r w:rsidR="006E0307" w:rsidRPr="00D525A4">
        <w:t xml:space="preserve">  Determination of who is a </w:t>
      </w:r>
      <w:r w:rsidR="006E0307" w:rsidRPr="00D525A4">
        <w:rPr>
          <w:i/>
        </w:rPr>
        <w:t>beneficiary institution</w:t>
      </w:r>
      <w:bookmarkEnd w:id="152"/>
    </w:p>
    <w:p w14:paraId="1A5CD070" w14:textId="7AD8891A" w:rsidR="0057412B" w:rsidRPr="00D525A4" w:rsidRDefault="00AD29E5" w:rsidP="00AD29E5">
      <w:pPr>
        <w:pStyle w:val="subsection"/>
      </w:pPr>
      <w:r w:rsidRPr="00D525A4">
        <w:tab/>
        <w:t>(1)</w:t>
      </w:r>
      <w:r w:rsidRPr="00D525A4">
        <w:tab/>
        <w:t xml:space="preserve">For the purposes of </w:t>
      </w:r>
      <w:r w:rsidR="0013261E" w:rsidRPr="00D525A4">
        <w:t>sub</w:t>
      </w:r>
      <w:r w:rsidR="0010391B" w:rsidRPr="00D525A4">
        <w:t>section 6</w:t>
      </w:r>
      <w:r w:rsidRPr="00D525A4">
        <w:t xml:space="preserve">3A(5) of the Act, this section provides for the determination of whether a person is a </w:t>
      </w:r>
      <w:r w:rsidRPr="00D525A4">
        <w:rPr>
          <w:b/>
          <w:i/>
        </w:rPr>
        <w:t>beneficiary institution</w:t>
      </w:r>
      <w:r w:rsidRPr="00D525A4">
        <w:t>.</w:t>
      </w:r>
    </w:p>
    <w:p w14:paraId="75B52569" w14:textId="79783F2C" w:rsidR="00C605A2" w:rsidRPr="00D525A4" w:rsidRDefault="00C605A2" w:rsidP="00C605A2">
      <w:pPr>
        <w:pStyle w:val="notetext"/>
      </w:pPr>
      <w:r w:rsidRPr="00D525A4">
        <w:t>Note:</w:t>
      </w:r>
      <w:r w:rsidRPr="00D525A4">
        <w:tab/>
      </w:r>
      <w:r w:rsidR="00FE1FDA" w:rsidRPr="00D525A4">
        <w:t>Sub</w:t>
      </w:r>
      <w:r w:rsidR="0010391B" w:rsidRPr="00D525A4">
        <w:t>section 6</w:t>
      </w:r>
      <w:r w:rsidRPr="00D525A4">
        <w:t xml:space="preserve">3A(8) of the Act sets out circumstances in which a person is not a </w:t>
      </w:r>
      <w:r w:rsidRPr="00D525A4">
        <w:rPr>
          <w:b/>
          <w:i/>
        </w:rPr>
        <w:t>beneficiary institution</w:t>
      </w:r>
      <w:r w:rsidRPr="00D525A4">
        <w:t>.</w:t>
      </w:r>
    </w:p>
    <w:p w14:paraId="55CA7E00" w14:textId="77777777" w:rsidR="00E60602" w:rsidRPr="00D525A4" w:rsidRDefault="00AD29E5" w:rsidP="0057412B">
      <w:pPr>
        <w:pStyle w:val="subsection"/>
      </w:pPr>
      <w:r w:rsidRPr="00D525A4">
        <w:tab/>
        <w:t>(2)</w:t>
      </w:r>
      <w:r w:rsidRPr="00D525A4">
        <w:tab/>
      </w:r>
      <w:r w:rsidR="0057412B" w:rsidRPr="00D525A4">
        <w:t xml:space="preserve">A person is a </w:t>
      </w:r>
      <w:r w:rsidR="0057412B" w:rsidRPr="00D525A4">
        <w:rPr>
          <w:b/>
          <w:i/>
        </w:rPr>
        <w:t>beneficiary institution</w:t>
      </w:r>
      <w:r w:rsidR="0057412B" w:rsidRPr="00D525A4">
        <w:t xml:space="preserve"> </w:t>
      </w:r>
      <w:r w:rsidR="00E60602" w:rsidRPr="00D525A4">
        <w:t>if:</w:t>
      </w:r>
    </w:p>
    <w:p w14:paraId="51CBFD94" w14:textId="77777777" w:rsidR="00E60602" w:rsidRPr="00D525A4" w:rsidRDefault="00E60602" w:rsidP="00E60602">
      <w:pPr>
        <w:pStyle w:val="paragraph"/>
      </w:pPr>
      <w:r w:rsidRPr="00D525A4">
        <w:tab/>
        <w:t>(a)</w:t>
      </w:r>
      <w:r w:rsidRPr="00D525A4">
        <w:tab/>
        <w:t>the person, in relation to a transfer of value, makes the value transferred available to a payee; and</w:t>
      </w:r>
    </w:p>
    <w:p w14:paraId="5E130449" w14:textId="525E2C4A" w:rsidR="00AA319E" w:rsidRPr="00D525A4" w:rsidRDefault="00E60602" w:rsidP="00522826">
      <w:pPr>
        <w:pStyle w:val="paragraph"/>
      </w:pPr>
      <w:r w:rsidRPr="00D525A4">
        <w:tab/>
        <w:t>(b)</w:t>
      </w:r>
      <w:r w:rsidRPr="00D525A4">
        <w:tab/>
        <w:t>the person does so in the course of carrying on a business</w:t>
      </w:r>
      <w:r w:rsidR="00533F0D" w:rsidRPr="00D525A4">
        <w:t>.</w:t>
      </w:r>
    </w:p>
    <w:p w14:paraId="42C5DE08" w14:textId="2B1F4DB5" w:rsidR="007354E2" w:rsidRPr="00D525A4" w:rsidRDefault="007354E2" w:rsidP="007354E2">
      <w:pPr>
        <w:pStyle w:val="subsection"/>
      </w:pPr>
      <w:r w:rsidRPr="00D525A4">
        <w:tab/>
        <w:t>(3)</w:t>
      </w:r>
      <w:r w:rsidRPr="00D525A4">
        <w:tab/>
        <w:t xml:space="preserve">Circumstances in which a person </w:t>
      </w:r>
      <w:r w:rsidR="00E76462" w:rsidRPr="00D525A4">
        <w:t xml:space="preserve">may be </w:t>
      </w:r>
      <w:r w:rsidRPr="00D525A4">
        <w:t xml:space="preserve">a beneficiary institution under </w:t>
      </w:r>
      <w:r w:rsidR="009F59ED" w:rsidRPr="00D525A4">
        <w:t>subsection (</w:t>
      </w:r>
      <w:r w:rsidRPr="00D525A4">
        <w:t>2) of this section include the following:</w:t>
      </w:r>
    </w:p>
    <w:p w14:paraId="19BD2B8E" w14:textId="44CD5938" w:rsidR="007354E2" w:rsidRPr="00D525A4" w:rsidRDefault="007354E2" w:rsidP="007354E2">
      <w:pPr>
        <w:pStyle w:val="paragraph"/>
      </w:pPr>
      <w:r w:rsidRPr="00D525A4">
        <w:tab/>
        <w:t>(a)</w:t>
      </w:r>
      <w:r w:rsidRPr="00D525A4">
        <w:tab/>
        <w:t>the person makes the transferred value available to the payee directly, or to a person acting on behalf of the payee;</w:t>
      </w:r>
    </w:p>
    <w:p w14:paraId="093CA036" w14:textId="3FB10CEB" w:rsidR="007354E2" w:rsidRPr="00D525A4" w:rsidRDefault="007354E2" w:rsidP="007354E2">
      <w:pPr>
        <w:pStyle w:val="paragraph"/>
      </w:pPr>
      <w:r w:rsidRPr="00D525A4">
        <w:tab/>
        <w:t>(b)</w:t>
      </w:r>
      <w:r w:rsidRPr="00D525A4">
        <w:tab/>
        <w:t>the person makes the transferred value available to the payee by depositing the value into an account held by the payee with the person</w:t>
      </w:r>
      <w:r w:rsidR="001052FB" w:rsidRPr="00D525A4">
        <w:t xml:space="preserve"> (including in a </w:t>
      </w:r>
      <w:r w:rsidR="001052FB" w:rsidRPr="00D525A4">
        <w:lastRenderedPageBreak/>
        <w:t>virtual asset wallet)</w:t>
      </w:r>
      <w:r w:rsidRPr="00D525A4">
        <w:t>, or otherwise holding the value on deposit for the payee;</w:t>
      </w:r>
    </w:p>
    <w:p w14:paraId="75DADEE0" w14:textId="1A16158D" w:rsidR="007354E2" w:rsidRPr="00D525A4" w:rsidRDefault="007354E2" w:rsidP="007354E2">
      <w:pPr>
        <w:pStyle w:val="paragraph"/>
      </w:pPr>
      <w:r w:rsidRPr="00D525A4">
        <w:tab/>
        <w:t>(c)</w:t>
      </w:r>
      <w:r w:rsidRPr="00D525A4">
        <w:tab/>
        <w:t>the person makes the transferred value available to the payee, under an arrangement with the payee, by depositing the value with a third</w:t>
      </w:r>
      <w:r w:rsidR="00D525A4">
        <w:noBreakHyphen/>
      </w:r>
      <w:r w:rsidRPr="00D525A4">
        <w:t>party deposit</w:t>
      </w:r>
      <w:r w:rsidR="00D525A4">
        <w:noBreakHyphen/>
      </w:r>
      <w:r w:rsidRPr="00D525A4">
        <w:t>taker or credit provider;</w:t>
      </w:r>
    </w:p>
    <w:p w14:paraId="68A53E78" w14:textId="20A6179C" w:rsidR="007354E2" w:rsidRPr="00D525A4" w:rsidRDefault="007354E2" w:rsidP="007354E2">
      <w:pPr>
        <w:pStyle w:val="paragraph"/>
      </w:pPr>
      <w:r w:rsidRPr="00D525A4">
        <w:tab/>
        <w:t>(d)</w:t>
      </w:r>
      <w:r w:rsidRPr="00D525A4">
        <w:tab/>
        <w:t>the person arranges for the transferred value to be made available to the payee under an offsetting arrangement with the ordering institution.</w:t>
      </w:r>
    </w:p>
    <w:p w14:paraId="7A7EB38B" w14:textId="2FEEC70F" w:rsidR="007354E2" w:rsidRPr="00D525A4" w:rsidRDefault="007354E2" w:rsidP="007354E2">
      <w:pPr>
        <w:pStyle w:val="subsection"/>
      </w:pPr>
      <w:r w:rsidRPr="00D525A4">
        <w:tab/>
        <w:t>(4)</w:t>
      </w:r>
      <w:r w:rsidRPr="00D525A4">
        <w:tab/>
      </w:r>
      <w:r w:rsidR="007E505A" w:rsidRPr="00D525A4">
        <w:t xml:space="preserve">To avoid doubt, </w:t>
      </w:r>
      <w:r w:rsidR="009F59ED" w:rsidRPr="00D525A4">
        <w:t>subsection (</w:t>
      </w:r>
      <w:r w:rsidRPr="00D525A4">
        <w:t xml:space="preserve">3) does not affect the requirement for a person to satisfy </w:t>
      </w:r>
      <w:r w:rsidR="009F59ED" w:rsidRPr="00D525A4">
        <w:t>subsection (</w:t>
      </w:r>
      <w:r w:rsidRPr="00D525A4">
        <w:t>2) to be a beneficiary institution.</w:t>
      </w:r>
    </w:p>
    <w:p w14:paraId="36409422" w14:textId="027F185A" w:rsidR="008117D4" w:rsidRPr="00D525A4" w:rsidRDefault="00270E8B" w:rsidP="007354E2">
      <w:pPr>
        <w:pStyle w:val="ActHead3"/>
        <w:pageBreakBefore/>
      </w:pPr>
      <w:bookmarkStart w:id="153" w:name="_Toc198225037"/>
      <w:r w:rsidRPr="00D525A4">
        <w:rPr>
          <w:rStyle w:val="CharDivNo"/>
        </w:rPr>
        <w:lastRenderedPageBreak/>
        <w:t>Division 2</w:t>
      </w:r>
      <w:r w:rsidR="008117D4" w:rsidRPr="00D525A4">
        <w:t>—</w:t>
      </w:r>
      <w:r w:rsidR="008117D4" w:rsidRPr="00D525A4">
        <w:rPr>
          <w:rStyle w:val="CharDivText"/>
        </w:rPr>
        <w:t>Transfers of value</w:t>
      </w:r>
      <w:bookmarkEnd w:id="153"/>
    </w:p>
    <w:p w14:paraId="667FB73D" w14:textId="0A310FB3" w:rsidR="008117D4" w:rsidRPr="00D525A4" w:rsidRDefault="00EC097E" w:rsidP="008117D4">
      <w:pPr>
        <w:pStyle w:val="ActHead5"/>
      </w:pPr>
      <w:bookmarkStart w:id="154" w:name="_Toc198225038"/>
      <w:r w:rsidRPr="00D525A4">
        <w:rPr>
          <w:rStyle w:val="CharSectno"/>
        </w:rPr>
        <w:t>7</w:t>
      </w:r>
      <w:r w:rsidR="00D525A4">
        <w:rPr>
          <w:rStyle w:val="CharSectno"/>
        </w:rPr>
        <w:noBreakHyphen/>
      </w:r>
      <w:r w:rsidRPr="00D525A4">
        <w:rPr>
          <w:rStyle w:val="CharSectno"/>
        </w:rPr>
        <w:t>3</w:t>
      </w:r>
      <w:r w:rsidR="008117D4" w:rsidRPr="00D525A4">
        <w:t xml:space="preserve">  Obligations of ordering institutions—collecting, verifying and passing on information</w:t>
      </w:r>
      <w:bookmarkEnd w:id="154"/>
    </w:p>
    <w:p w14:paraId="4CA585A9" w14:textId="77777777" w:rsidR="008117D4" w:rsidRPr="00D525A4" w:rsidRDefault="008117D4" w:rsidP="008117D4">
      <w:pPr>
        <w:pStyle w:val="subsection"/>
      </w:pPr>
      <w:r w:rsidRPr="00D525A4">
        <w:tab/>
      </w:r>
      <w:r w:rsidRPr="00D525A4">
        <w:tab/>
        <w:t>If the circumstances mentioned in column 1 of an item in the following table apply in relation to a transfer of value:</w:t>
      </w:r>
    </w:p>
    <w:p w14:paraId="050590D2" w14:textId="402AA4D3" w:rsidR="008117D4" w:rsidRPr="00D525A4" w:rsidRDefault="008117D4" w:rsidP="008117D4">
      <w:pPr>
        <w:pStyle w:val="paragraph"/>
      </w:pPr>
      <w:r w:rsidRPr="00D525A4">
        <w:tab/>
        <w:t>(a)</w:t>
      </w:r>
      <w:r w:rsidRPr="00D525A4">
        <w:tab/>
        <w:t xml:space="preserve">for the purposes of </w:t>
      </w:r>
      <w:r w:rsidR="00FE1FDA" w:rsidRPr="00D525A4">
        <w:t>paragraph 6</w:t>
      </w:r>
      <w:r w:rsidRPr="00D525A4">
        <w:t>4(2)(a) of the Act, the information that the ordering institution must collect is such information as is set out in column 2 of the item; and</w:t>
      </w:r>
    </w:p>
    <w:p w14:paraId="41917565" w14:textId="4E04BFAB" w:rsidR="008117D4" w:rsidRPr="00D525A4" w:rsidRDefault="008117D4" w:rsidP="008117D4">
      <w:pPr>
        <w:pStyle w:val="paragraph"/>
      </w:pPr>
      <w:r w:rsidRPr="00D525A4">
        <w:tab/>
        <w:t>(b)</w:t>
      </w:r>
      <w:r w:rsidRPr="00D525A4">
        <w:tab/>
        <w:t xml:space="preserve">for the purposes of </w:t>
      </w:r>
      <w:r w:rsidR="00FE1FDA" w:rsidRPr="00D525A4">
        <w:t>paragraph 6</w:t>
      </w:r>
      <w:r w:rsidRPr="00D525A4">
        <w:t xml:space="preserve">4(2)(b) of the Act, the ordering institution must verify such information as is set out in column 3 of the item in accordance with </w:t>
      </w:r>
      <w:r w:rsidR="009B58BE" w:rsidRPr="00D525A4">
        <w:t>sections 2</w:t>
      </w:r>
      <w:r w:rsidRPr="00D525A4">
        <w:t>8 and 30 of the Act (as applicable); and</w:t>
      </w:r>
    </w:p>
    <w:p w14:paraId="04518ADF" w14:textId="7D47B94B" w:rsidR="008117D4" w:rsidRPr="00D525A4" w:rsidRDefault="008117D4" w:rsidP="008117D4">
      <w:pPr>
        <w:pStyle w:val="paragraph"/>
      </w:pPr>
      <w:r w:rsidRPr="00D525A4">
        <w:tab/>
        <w:t>(c)</w:t>
      </w:r>
      <w:r w:rsidRPr="00D525A4">
        <w:tab/>
        <w:t xml:space="preserve">for the purposes of </w:t>
      </w:r>
      <w:r w:rsidR="0013261E" w:rsidRPr="00D525A4">
        <w:t>sub</w:t>
      </w:r>
      <w:r w:rsidR="0010391B" w:rsidRPr="00D525A4">
        <w:t>section 6</w:t>
      </w:r>
      <w:r w:rsidRPr="00D525A4">
        <w:t>4(3) of the Act, the information that the ordering institution must pass on to the next institution in the value transfer chain is such information as is set out in column 4 of the item.</w:t>
      </w:r>
    </w:p>
    <w:p w14:paraId="4749450F" w14:textId="77777777" w:rsidR="008117D4" w:rsidRPr="00D525A4" w:rsidRDefault="008117D4" w:rsidP="008117D4">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1843"/>
        <w:gridCol w:w="1842"/>
        <w:gridCol w:w="2127"/>
      </w:tblGrid>
      <w:tr w:rsidR="008117D4" w:rsidRPr="00D525A4" w14:paraId="41334269" w14:textId="77777777" w:rsidTr="00B11DA4">
        <w:trPr>
          <w:tblHeader/>
        </w:trPr>
        <w:tc>
          <w:tcPr>
            <w:tcW w:w="6232" w:type="dxa"/>
            <w:gridSpan w:val="4"/>
            <w:tcBorders>
              <w:top w:val="single" w:sz="12" w:space="0" w:color="auto"/>
              <w:bottom w:val="single" w:sz="6" w:space="0" w:color="auto"/>
            </w:tcBorders>
            <w:shd w:val="clear" w:color="auto" w:fill="auto"/>
          </w:tcPr>
          <w:p w14:paraId="60EB2531" w14:textId="77777777" w:rsidR="008117D4" w:rsidRPr="00D525A4" w:rsidRDefault="008117D4" w:rsidP="00B11DA4">
            <w:pPr>
              <w:pStyle w:val="TableHeading"/>
            </w:pPr>
            <w:r w:rsidRPr="00D525A4">
              <w:t>Obligations of ordering institutions—collecting, verifying and passing on information</w:t>
            </w:r>
          </w:p>
        </w:tc>
        <w:tc>
          <w:tcPr>
            <w:tcW w:w="2127" w:type="dxa"/>
            <w:tcBorders>
              <w:top w:val="single" w:sz="12" w:space="0" w:color="auto"/>
              <w:bottom w:val="single" w:sz="6" w:space="0" w:color="auto"/>
            </w:tcBorders>
            <w:shd w:val="clear" w:color="auto" w:fill="auto"/>
          </w:tcPr>
          <w:p w14:paraId="37FEB35A" w14:textId="77777777" w:rsidR="008117D4" w:rsidRPr="00D525A4" w:rsidRDefault="008117D4" w:rsidP="00B11DA4">
            <w:pPr>
              <w:pStyle w:val="TableHeading"/>
            </w:pPr>
          </w:p>
        </w:tc>
      </w:tr>
      <w:tr w:rsidR="008117D4" w:rsidRPr="00D525A4" w14:paraId="5B3896A4" w14:textId="77777777" w:rsidTr="00B11DA4">
        <w:trPr>
          <w:tblHeader/>
        </w:trPr>
        <w:tc>
          <w:tcPr>
            <w:tcW w:w="714" w:type="dxa"/>
            <w:tcBorders>
              <w:top w:val="single" w:sz="6" w:space="0" w:color="auto"/>
              <w:bottom w:val="nil"/>
            </w:tcBorders>
            <w:shd w:val="clear" w:color="auto" w:fill="auto"/>
          </w:tcPr>
          <w:p w14:paraId="66879141" w14:textId="77777777" w:rsidR="008117D4" w:rsidRPr="00D525A4" w:rsidRDefault="008117D4" w:rsidP="00B11DA4">
            <w:pPr>
              <w:pStyle w:val="TableHeading"/>
            </w:pPr>
            <w:r w:rsidRPr="00D525A4">
              <w:t>Item</w:t>
            </w:r>
          </w:p>
        </w:tc>
        <w:tc>
          <w:tcPr>
            <w:tcW w:w="1833" w:type="dxa"/>
            <w:tcBorders>
              <w:top w:val="single" w:sz="6" w:space="0" w:color="auto"/>
              <w:bottom w:val="nil"/>
            </w:tcBorders>
            <w:shd w:val="clear" w:color="auto" w:fill="auto"/>
          </w:tcPr>
          <w:p w14:paraId="79DC6604" w14:textId="77777777" w:rsidR="008117D4" w:rsidRPr="00D525A4" w:rsidRDefault="008117D4" w:rsidP="00B11DA4">
            <w:pPr>
              <w:pStyle w:val="TableHeading"/>
            </w:pPr>
            <w:r w:rsidRPr="00D525A4">
              <w:t>Column 1</w:t>
            </w:r>
          </w:p>
        </w:tc>
        <w:tc>
          <w:tcPr>
            <w:tcW w:w="1843" w:type="dxa"/>
            <w:tcBorders>
              <w:top w:val="single" w:sz="6" w:space="0" w:color="auto"/>
              <w:bottom w:val="nil"/>
            </w:tcBorders>
            <w:shd w:val="clear" w:color="auto" w:fill="auto"/>
          </w:tcPr>
          <w:p w14:paraId="1742ADE1" w14:textId="77777777" w:rsidR="008117D4" w:rsidRPr="00D525A4" w:rsidRDefault="008117D4" w:rsidP="00B11DA4">
            <w:pPr>
              <w:pStyle w:val="TableHeading"/>
            </w:pPr>
            <w:r w:rsidRPr="00D525A4">
              <w:t>Column 2</w:t>
            </w:r>
          </w:p>
        </w:tc>
        <w:tc>
          <w:tcPr>
            <w:tcW w:w="1842" w:type="dxa"/>
            <w:tcBorders>
              <w:top w:val="single" w:sz="6" w:space="0" w:color="auto"/>
              <w:bottom w:val="nil"/>
            </w:tcBorders>
            <w:shd w:val="clear" w:color="auto" w:fill="auto"/>
          </w:tcPr>
          <w:p w14:paraId="74153F1E" w14:textId="77777777" w:rsidR="008117D4" w:rsidRPr="00D525A4" w:rsidRDefault="008117D4" w:rsidP="00B11DA4">
            <w:pPr>
              <w:pStyle w:val="TableHeading"/>
            </w:pPr>
            <w:r w:rsidRPr="00D525A4">
              <w:t>Column 3</w:t>
            </w:r>
          </w:p>
        </w:tc>
        <w:tc>
          <w:tcPr>
            <w:tcW w:w="2127" w:type="dxa"/>
            <w:tcBorders>
              <w:top w:val="single" w:sz="6" w:space="0" w:color="auto"/>
              <w:bottom w:val="nil"/>
            </w:tcBorders>
            <w:shd w:val="clear" w:color="auto" w:fill="auto"/>
          </w:tcPr>
          <w:p w14:paraId="6E234C72" w14:textId="77777777" w:rsidR="008117D4" w:rsidRPr="00D525A4" w:rsidRDefault="008117D4" w:rsidP="00B11DA4">
            <w:pPr>
              <w:pStyle w:val="TableHeading"/>
            </w:pPr>
            <w:r w:rsidRPr="00D525A4">
              <w:t>Column 4</w:t>
            </w:r>
          </w:p>
        </w:tc>
      </w:tr>
      <w:tr w:rsidR="008117D4" w:rsidRPr="00D525A4" w14:paraId="06FAD798" w14:textId="77777777" w:rsidTr="00B11DA4">
        <w:trPr>
          <w:tblHeader/>
        </w:trPr>
        <w:tc>
          <w:tcPr>
            <w:tcW w:w="714" w:type="dxa"/>
            <w:tcBorders>
              <w:top w:val="nil"/>
              <w:bottom w:val="single" w:sz="12" w:space="0" w:color="auto"/>
            </w:tcBorders>
            <w:shd w:val="clear" w:color="auto" w:fill="auto"/>
          </w:tcPr>
          <w:p w14:paraId="24F7FAB4" w14:textId="77777777" w:rsidR="008117D4" w:rsidRPr="00D525A4" w:rsidRDefault="008117D4" w:rsidP="00B11DA4">
            <w:pPr>
              <w:pStyle w:val="TableHeading"/>
            </w:pPr>
          </w:p>
        </w:tc>
        <w:tc>
          <w:tcPr>
            <w:tcW w:w="1833" w:type="dxa"/>
            <w:tcBorders>
              <w:top w:val="nil"/>
              <w:bottom w:val="single" w:sz="12" w:space="0" w:color="auto"/>
            </w:tcBorders>
            <w:shd w:val="clear" w:color="auto" w:fill="auto"/>
          </w:tcPr>
          <w:p w14:paraId="58599F29" w14:textId="77777777" w:rsidR="008117D4" w:rsidRPr="00D525A4" w:rsidRDefault="008117D4" w:rsidP="00B11DA4">
            <w:pPr>
              <w:pStyle w:val="TableHeading"/>
            </w:pPr>
            <w:r w:rsidRPr="00D525A4">
              <w:t>Circumstances</w:t>
            </w:r>
          </w:p>
        </w:tc>
        <w:tc>
          <w:tcPr>
            <w:tcW w:w="1843" w:type="dxa"/>
            <w:tcBorders>
              <w:top w:val="nil"/>
              <w:bottom w:val="single" w:sz="12" w:space="0" w:color="auto"/>
            </w:tcBorders>
            <w:shd w:val="clear" w:color="auto" w:fill="auto"/>
          </w:tcPr>
          <w:p w14:paraId="013BC496" w14:textId="77777777" w:rsidR="008117D4" w:rsidRPr="00D525A4" w:rsidRDefault="008117D4" w:rsidP="00B11DA4">
            <w:pPr>
              <w:pStyle w:val="TableHeading"/>
            </w:pPr>
            <w:r w:rsidRPr="00D525A4">
              <w:t>Information to be collected</w:t>
            </w:r>
          </w:p>
        </w:tc>
        <w:tc>
          <w:tcPr>
            <w:tcW w:w="1842" w:type="dxa"/>
            <w:tcBorders>
              <w:top w:val="nil"/>
              <w:bottom w:val="single" w:sz="12" w:space="0" w:color="auto"/>
            </w:tcBorders>
            <w:shd w:val="clear" w:color="auto" w:fill="auto"/>
          </w:tcPr>
          <w:p w14:paraId="6CF1560D" w14:textId="77777777" w:rsidR="008117D4" w:rsidRPr="00D525A4" w:rsidRDefault="008117D4" w:rsidP="00B11DA4">
            <w:pPr>
              <w:pStyle w:val="TableHeading"/>
            </w:pPr>
            <w:r w:rsidRPr="00D525A4">
              <w:t>Information to be verified</w:t>
            </w:r>
          </w:p>
        </w:tc>
        <w:tc>
          <w:tcPr>
            <w:tcW w:w="2127" w:type="dxa"/>
            <w:tcBorders>
              <w:top w:val="nil"/>
              <w:bottom w:val="single" w:sz="12" w:space="0" w:color="auto"/>
            </w:tcBorders>
            <w:shd w:val="clear" w:color="auto" w:fill="auto"/>
          </w:tcPr>
          <w:p w14:paraId="017F2D55" w14:textId="77777777" w:rsidR="008117D4" w:rsidRPr="00D525A4" w:rsidRDefault="008117D4" w:rsidP="00B11DA4">
            <w:pPr>
              <w:pStyle w:val="TableHeading"/>
            </w:pPr>
            <w:r w:rsidRPr="00D525A4">
              <w:t>Information to be passed on</w:t>
            </w:r>
          </w:p>
        </w:tc>
      </w:tr>
      <w:tr w:rsidR="008117D4" w:rsidRPr="00D525A4" w14:paraId="77621567" w14:textId="77777777" w:rsidTr="00B11DA4">
        <w:tc>
          <w:tcPr>
            <w:tcW w:w="714" w:type="dxa"/>
            <w:tcBorders>
              <w:top w:val="single" w:sz="12" w:space="0" w:color="auto"/>
            </w:tcBorders>
            <w:shd w:val="clear" w:color="auto" w:fill="auto"/>
          </w:tcPr>
          <w:p w14:paraId="602DA128" w14:textId="77777777" w:rsidR="008117D4" w:rsidRPr="00D525A4" w:rsidRDefault="008117D4" w:rsidP="00B11DA4">
            <w:pPr>
              <w:pStyle w:val="Tabletext"/>
            </w:pPr>
            <w:r w:rsidRPr="00D525A4">
              <w:t>1</w:t>
            </w:r>
          </w:p>
        </w:tc>
        <w:tc>
          <w:tcPr>
            <w:tcW w:w="1833" w:type="dxa"/>
            <w:tcBorders>
              <w:top w:val="single" w:sz="12" w:space="0" w:color="auto"/>
            </w:tcBorders>
            <w:shd w:val="clear" w:color="auto" w:fill="auto"/>
          </w:tcPr>
          <w:p w14:paraId="518C770D" w14:textId="5F90A1D2" w:rsidR="008117D4" w:rsidRPr="00D525A4" w:rsidRDefault="008117D4" w:rsidP="00B11DA4">
            <w:pPr>
              <w:pStyle w:val="Tabletext"/>
            </w:pPr>
            <w:r w:rsidRPr="00D525A4">
              <w:t xml:space="preserve">none of the circumstances mentioned in </w:t>
            </w:r>
            <w:r w:rsidR="0010391B" w:rsidRPr="00D525A4">
              <w:t>items 2</w:t>
            </w:r>
            <w:r w:rsidRPr="00D525A4">
              <w:t xml:space="preserve"> to </w:t>
            </w:r>
            <w:r w:rsidR="00700450" w:rsidRPr="00D525A4">
              <w:t>6</w:t>
            </w:r>
            <w:r w:rsidRPr="00D525A4">
              <w:t xml:space="preserve"> apply</w:t>
            </w:r>
          </w:p>
        </w:tc>
        <w:tc>
          <w:tcPr>
            <w:tcW w:w="1843" w:type="dxa"/>
            <w:tcBorders>
              <w:top w:val="single" w:sz="12" w:space="0" w:color="auto"/>
            </w:tcBorders>
            <w:shd w:val="clear" w:color="auto" w:fill="auto"/>
          </w:tcPr>
          <w:p w14:paraId="14C00518" w14:textId="77777777" w:rsidR="008117D4" w:rsidRPr="00D525A4" w:rsidRDefault="008117D4" w:rsidP="00B11DA4">
            <w:pPr>
              <w:pStyle w:val="Tablea"/>
            </w:pPr>
            <w:r w:rsidRPr="00D525A4">
              <w:t>(a) payer information; and</w:t>
            </w:r>
          </w:p>
          <w:p w14:paraId="25901541" w14:textId="77777777" w:rsidR="008117D4" w:rsidRPr="00D525A4" w:rsidRDefault="008117D4" w:rsidP="00B11DA4">
            <w:pPr>
              <w:pStyle w:val="Tablea"/>
            </w:pPr>
            <w:r w:rsidRPr="00D525A4">
              <w:t>(b) payee information</w:t>
            </w:r>
          </w:p>
        </w:tc>
        <w:tc>
          <w:tcPr>
            <w:tcW w:w="1842" w:type="dxa"/>
            <w:tcBorders>
              <w:top w:val="single" w:sz="12" w:space="0" w:color="auto"/>
            </w:tcBorders>
            <w:shd w:val="clear" w:color="auto" w:fill="auto"/>
          </w:tcPr>
          <w:p w14:paraId="238C268C" w14:textId="77777777" w:rsidR="008117D4" w:rsidRPr="00D525A4" w:rsidRDefault="008117D4" w:rsidP="00B11DA4">
            <w:pPr>
              <w:pStyle w:val="Tabletext"/>
            </w:pPr>
            <w:r w:rsidRPr="00D525A4">
              <w:t>payer information</w:t>
            </w:r>
          </w:p>
        </w:tc>
        <w:tc>
          <w:tcPr>
            <w:tcW w:w="2127" w:type="dxa"/>
            <w:tcBorders>
              <w:top w:val="single" w:sz="12" w:space="0" w:color="auto"/>
            </w:tcBorders>
            <w:shd w:val="clear" w:color="auto" w:fill="auto"/>
          </w:tcPr>
          <w:p w14:paraId="52AF8AB8" w14:textId="77777777" w:rsidR="008117D4" w:rsidRPr="00D525A4" w:rsidRDefault="008117D4" w:rsidP="00B11DA4">
            <w:pPr>
              <w:pStyle w:val="Tablea"/>
            </w:pPr>
            <w:r w:rsidRPr="00D525A4">
              <w:t>(a) payer information; and</w:t>
            </w:r>
          </w:p>
          <w:p w14:paraId="3369A816" w14:textId="77777777" w:rsidR="008117D4" w:rsidRPr="00D525A4" w:rsidRDefault="008117D4" w:rsidP="00B11DA4">
            <w:pPr>
              <w:pStyle w:val="Tabletext"/>
            </w:pPr>
            <w:r w:rsidRPr="00D525A4">
              <w:t>(b) payee information</w:t>
            </w:r>
          </w:p>
        </w:tc>
      </w:tr>
      <w:tr w:rsidR="008117D4" w:rsidRPr="00D525A4" w14:paraId="1DC3AC3B" w14:textId="77777777" w:rsidTr="00B11DA4">
        <w:tc>
          <w:tcPr>
            <w:tcW w:w="714" w:type="dxa"/>
            <w:shd w:val="clear" w:color="auto" w:fill="auto"/>
          </w:tcPr>
          <w:p w14:paraId="08DC0037" w14:textId="77777777" w:rsidR="008117D4" w:rsidRPr="00D525A4" w:rsidRDefault="008117D4" w:rsidP="00B11DA4">
            <w:pPr>
              <w:pStyle w:val="Tabletext"/>
            </w:pPr>
            <w:r w:rsidRPr="00D525A4">
              <w:t>2</w:t>
            </w:r>
          </w:p>
        </w:tc>
        <w:tc>
          <w:tcPr>
            <w:tcW w:w="1833" w:type="dxa"/>
            <w:shd w:val="clear" w:color="auto" w:fill="auto"/>
          </w:tcPr>
          <w:p w14:paraId="7B00F1C1" w14:textId="77777777" w:rsidR="008117D4" w:rsidRPr="00D525A4" w:rsidRDefault="008117D4" w:rsidP="00B11DA4">
            <w:pPr>
              <w:pStyle w:val="Tablea"/>
            </w:pPr>
            <w:r w:rsidRPr="00D525A4">
              <w:t>(a) the transfer of value is a domestic transfer of value; and</w:t>
            </w:r>
          </w:p>
          <w:p w14:paraId="6E4766A8" w14:textId="2FC83598" w:rsidR="008117D4" w:rsidRPr="00D525A4" w:rsidRDefault="008117D4" w:rsidP="00B11DA4">
            <w:pPr>
              <w:pStyle w:val="Tablea"/>
            </w:pPr>
            <w:r w:rsidRPr="00D525A4">
              <w:t>(b) the ordering institution passes on the transfer message for the transfer of value through BECS</w:t>
            </w:r>
            <w:r w:rsidR="00700450" w:rsidRPr="00D525A4">
              <w:t>, BPAY or DEFT</w:t>
            </w:r>
          </w:p>
        </w:tc>
        <w:tc>
          <w:tcPr>
            <w:tcW w:w="1843" w:type="dxa"/>
            <w:shd w:val="clear" w:color="auto" w:fill="auto"/>
          </w:tcPr>
          <w:p w14:paraId="443A2A73" w14:textId="77777777" w:rsidR="008117D4" w:rsidRPr="00D525A4" w:rsidRDefault="008117D4" w:rsidP="00B11DA4">
            <w:pPr>
              <w:pStyle w:val="Tablea"/>
            </w:pPr>
            <w:r w:rsidRPr="00D525A4">
              <w:t>(a) payer information; and</w:t>
            </w:r>
          </w:p>
          <w:p w14:paraId="067B5B84" w14:textId="77777777" w:rsidR="008117D4" w:rsidRPr="00D525A4" w:rsidRDefault="008117D4" w:rsidP="00B11DA4">
            <w:pPr>
              <w:pStyle w:val="Tablea"/>
            </w:pPr>
            <w:r w:rsidRPr="00D525A4">
              <w:t>(b) payee information</w:t>
            </w:r>
          </w:p>
        </w:tc>
        <w:tc>
          <w:tcPr>
            <w:tcW w:w="1842" w:type="dxa"/>
            <w:shd w:val="clear" w:color="auto" w:fill="auto"/>
          </w:tcPr>
          <w:p w14:paraId="45729358" w14:textId="77777777" w:rsidR="008117D4" w:rsidRPr="00D525A4" w:rsidRDefault="008117D4" w:rsidP="00B11DA4">
            <w:pPr>
              <w:pStyle w:val="Tabletext"/>
            </w:pPr>
            <w:r w:rsidRPr="00D525A4">
              <w:t>payer information</w:t>
            </w:r>
          </w:p>
        </w:tc>
        <w:tc>
          <w:tcPr>
            <w:tcW w:w="2127" w:type="dxa"/>
            <w:shd w:val="clear" w:color="auto" w:fill="auto"/>
          </w:tcPr>
          <w:p w14:paraId="578B803E" w14:textId="77777777" w:rsidR="008117D4" w:rsidRPr="00D525A4" w:rsidRDefault="008117D4" w:rsidP="00B11DA4">
            <w:pPr>
              <w:pStyle w:val="Tabletext"/>
            </w:pPr>
            <w:r w:rsidRPr="00D525A4">
              <w:t>tracing information</w:t>
            </w:r>
          </w:p>
        </w:tc>
      </w:tr>
      <w:tr w:rsidR="008117D4" w:rsidRPr="00D525A4" w14:paraId="20D803BB" w14:textId="77777777" w:rsidTr="00B11DA4">
        <w:tc>
          <w:tcPr>
            <w:tcW w:w="714" w:type="dxa"/>
            <w:shd w:val="clear" w:color="auto" w:fill="auto"/>
          </w:tcPr>
          <w:p w14:paraId="001AAEFD" w14:textId="77D752AB" w:rsidR="008117D4" w:rsidRPr="00D525A4" w:rsidRDefault="00700450" w:rsidP="00B11DA4">
            <w:pPr>
              <w:pStyle w:val="Tabletext"/>
            </w:pPr>
            <w:r w:rsidRPr="00D525A4">
              <w:t>3</w:t>
            </w:r>
          </w:p>
        </w:tc>
        <w:tc>
          <w:tcPr>
            <w:tcW w:w="1833" w:type="dxa"/>
            <w:shd w:val="clear" w:color="auto" w:fill="auto"/>
          </w:tcPr>
          <w:p w14:paraId="3211DC5B" w14:textId="77777777" w:rsidR="008117D4" w:rsidRPr="00D525A4" w:rsidRDefault="003E126A" w:rsidP="003E126A">
            <w:pPr>
              <w:pStyle w:val="Tablea"/>
            </w:pPr>
            <w:r w:rsidRPr="00D525A4">
              <w:t xml:space="preserve">(a) </w:t>
            </w:r>
            <w:r w:rsidR="008117D4" w:rsidRPr="00D525A4">
              <w:t>the transfer message for the transfer of value contains information relating to multiple transfers of value from a payer</w:t>
            </w:r>
            <w:r w:rsidRPr="00D525A4">
              <w:t>; and</w:t>
            </w:r>
          </w:p>
          <w:p w14:paraId="1AB7BD6F" w14:textId="5E5C43AC" w:rsidR="003E126A" w:rsidRPr="00D525A4" w:rsidRDefault="003E126A" w:rsidP="003E126A">
            <w:pPr>
              <w:pStyle w:val="Tablea"/>
              <w:rPr>
                <w:highlight w:val="yellow"/>
              </w:rPr>
            </w:pPr>
            <w:r w:rsidRPr="00D525A4">
              <w:lastRenderedPageBreak/>
              <w:t xml:space="preserve">(b) </w:t>
            </w:r>
            <w:r w:rsidR="00A45F84" w:rsidRPr="00D525A4">
              <w:t xml:space="preserve">the </w:t>
            </w:r>
            <w:r w:rsidR="002E66AC" w:rsidRPr="00D525A4">
              <w:t>circumstances</w:t>
            </w:r>
            <w:r w:rsidR="00A45F84" w:rsidRPr="00D525A4">
              <w:t xml:space="preserve"> mentioned in </w:t>
            </w:r>
            <w:r w:rsidR="0010391B" w:rsidRPr="00D525A4">
              <w:t>item 2</w:t>
            </w:r>
            <w:r w:rsidRPr="00D525A4">
              <w:t xml:space="preserve"> do not apply</w:t>
            </w:r>
          </w:p>
        </w:tc>
        <w:tc>
          <w:tcPr>
            <w:tcW w:w="1843" w:type="dxa"/>
            <w:shd w:val="clear" w:color="auto" w:fill="auto"/>
          </w:tcPr>
          <w:p w14:paraId="15EB1489" w14:textId="77777777" w:rsidR="008117D4" w:rsidRPr="00D525A4" w:rsidRDefault="008117D4" w:rsidP="00B11DA4">
            <w:pPr>
              <w:pStyle w:val="Tablea"/>
            </w:pPr>
            <w:r w:rsidRPr="00D525A4">
              <w:lastRenderedPageBreak/>
              <w:t>(a) payer information; and</w:t>
            </w:r>
          </w:p>
          <w:p w14:paraId="767F7906" w14:textId="77777777" w:rsidR="008117D4" w:rsidRPr="00D525A4" w:rsidRDefault="008117D4" w:rsidP="00B11DA4">
            <w:pPr>
              <w:pStyle w:val="Tablea"/>
            </w:pPr>
            <w:r w:rsidRPr="00D525A4">
              <w:t>(b) payee information</w:t>
            </w:r>
          </w:p>
        </w:tc>
        <w:tc>
          <w:tcPr>
            <w:tcW w:w="1842" w:type="dxa"/>
            <w:shd w:val="clear" w:color="auto" w:fill="auto"/>
          </w:tcPr>
          <w:p w14:paraId="1352D04C" w14:textId="77777777" w:rsidR="008117D4" w:rsidRPr="00D525A4" w:rsidRDefault="008117D4" w:rsidP="00B11DA4">
            <w:pPr>
              <w:pStyle w:val="Tabletext"/>
            </w:pPr>
            <w:r w:rsidRPr="00D525A4">
              <w:t>payer information</w:t>
            </w:r>
          </w:p>
        </w:tc>
        <w:tc>
          <w:tcPr>
            <w:tcW w:w="2127" w:type="dxa"/>
            <w:shd w:val="clear" w:color="auto" w:fill="auto"/>
          </w:tcPr>
          <w:p w14:paraId="6B0DA37C" w14:textId="77777777" w:rsidR="008117D4" w:rsidRPr="00D525A4" w:rsidRDefault="008117D4" w:rsidP="00B11DA4">
            <w:pPr>
              <w:pStyle w:val="Tablea"/>
            </w:pPr>
            <w:r w:rsidRPr="00D525A4">
              <w:t>(a) payer information; and</w:t>
            </w:r>
          </w:p>
          <w:p w14:paraId="0545CEE0" w14:textId="77777777" w:rsidR="008117D4" w:rsidRPr="00D525A4" w:rsidRDefault="008117D4" w:rsidP="00B11DA4">
            <w:pPr>
              <w:pStyle w:val="Tablea"/>
            </w:pPr>
            <w:r w:rsidRPr="00D525A4">
              <w:t>(b) for each transfer of value in the transfer message:</w:t>
            </w:r>
          </w:p>
          <w:p w14:paraId="621E208B" w14:textId="77777777" w:rsidR="008117D4" w:rsidRPr="00D525A4" w:rsidRDefault="008117D4" w:rsidP="00B11DA4">
            <w:pPr>
              <w:pStyle w:val="Tablei"/>
            </w:pPr>
            <w:r w:rsidRPr="00D525A4">
              <w:t>(i) tracing information; and</w:t>
            </w:r>
          </w:p>
          <w:p w14:paraId="38D3650A" w14:textId="77777777" w:rsidR="008117D4" w:rsidRPr="00D525A4" w:rsidRDefault="008117D4" w:rsidP="00B11DA4">
            <w:pPr>
              <w:pStyle w:val="Tablei"/>
            </w:pPr>
            <w:r w:rsidRPr="00D525A4">
              <w:t>(ii) payee information</w:t>
            </w:r>
          </w:p>
        </w:tc>
      </w:tr>
      <w:tr w:rsidR="008117D4" w:rsidRPr="00D525A4" w14:paraId="00FFD02A" w14:textId="77777777" w:rsidTr="00B11DA4">
        <w:tc>
          <w:tcPr>
            <w:tcW w:w="714" w:type="dxa"/>
            <w:tcBorders>
              <w:bottom w:val="single" w:sz="2" w:space="0" w:color="auto"/>
            </w:tcBorders>
            <w:shd w:val="clear" w:color="auto" w:fill="auto"/>
          </w:tcPr>
          <w:p w14:paraId="1A13E145" w14:textId="763EAE3E" w:rsidR="008117D4" w:rsidRPr="00D525A4" w:rsidRDefault="00700450" w:rsidP="00B11DA4">
            <w:pPr>
              <w:pStyle w:val="Tabletext"/>
            </w:pPr>
            <w:r w:rsidRPr="00D525A4">
              <w:t>4</w:t>
            </w:r>
          </w:p>
        </w:tc>
        <w:tc>
          <w:tcPr>
            <w:tcW w:w="1833" w:type="dxa"/>
            <w:tcBorders>
              <w:bottom w:val="single" w:sz="2" w:space="0" w:color="auto"/>
            </w:tcBorders>
            <w:shd w:val="clear" w:color="auto" w:fill="auto"/>
          </w:tcPr>
          <w:p w14:paraId="07B5E0B9" w14:textId="2CEFCDBA" w:rsidR="008117D4" w:rsidRPr="00D525A4" w:rsidRDefault="008117D4" w:rsidP="00B11DA4">
            <w:pPr>
              <w:pStyle w:val="Tabletext"/>
            </w:pPr>
            <w:r w:rsidRPr="00D525A4">
              <w:t>the transfer of value is a card</w:t>
            </w:r>
            <w:r w:rsidR="00D525A4">
              <w:noBreakHyphen/>
            </w:r>
            <w:r w:rsidRPr="00D525A4">
              <w:t>based pull payment</w:t>
            </w:r>
          </w:p>
        </w:tc>
        <w:tc>
          <w:tcPr>
            <w:tcW w:w="1843" w:type="dxa"/>
            <w:tcBorders>
              <w:bottom w:val="single" w:sz="2" w:space="0" w:color="auto"/>
            </w:tcBorders>
            <w:shd w:val="clear" w:color="auto" w:fill="auto"/>
          </w:tcPr>
          <w:p w14:paraId="677AC5B6" w14:textId="77777777" w:rsidR="008117D4" w:rsidRPr="00D525A4" w:rsidRDefault="008117D4" w:rsidP="00B11DA4">
            <w:pPr>
              <w:pStyle w:val="Tabletext"/>
            </w:pPr>
            <w:r w:rsidRPr="00D525A4">
              <w:t>not applicable</w:t>
            </w:r>
          </w:p>
        </w:tc>
        <w:tc>
          <w:tcPr>
            <w:tcW w:w="1842" w:type="dxa"/>
            <w:tcBorders>
              <w:bottom w:val="single" w:sz="2" w:space="0" w:color="auto"/>
            </w:tcBorders>
            <w:shd w:val="clear" w:color="auto" w:fill="auto"/>
          </w:tcPr>
          <w:p w14:paraId="6BFFD345" w14:textId="77777777" w:rsidR="008117D4" w:rsidRPr="00D525A4" w:rsidRDefault="008117D4" w:rsidP="00B11DA4">
            <w:pPr>
              <w:pStyle w:val="Tabletext"/>
            </w:pPr>
            <w:r w:rsidRPr="00D525A4">
              <w:t>not applicable</w:t>
            </w:r>
          </w:p>
        </w:tc>
        <w:tc>
          <w:tcPr>
            <w:tcW w:w="2127" w:type="dxa"/>
            <w:tcBorders>
              <w:bottom w:val="single" w:sz="2" w:space="0" w:color="auto"/>
            </w:tcBorders>
            <w:shd w:val="clear" w:color="auto" w:fill="auto"/>
          </w:tcPr>
          <w:p w14:paraId="5058FD72" w14:textId="49B11B4F" w:rsidR="008117D4" w:rsidRPr="00D525A4" w:rsidRDefault="008117D4" w:rsidP="00B11DA4">
            <w:pPr>
              <w:pStyle w:val="Tabletext"/>
            </w:pPr>
            <w:r w:rsidRPr="00D525A4">
              <w:t>card number of the card the payer used in relation to the card</w:t>
            </w:r>
            <w:r w:rsidR="00D525A4">
              <w:noBreakHyphen/>
            </w:r>
            <w:r w:rsidRPr="00D525A4">
              <w:t>based pull payment</w:t>
            </w:r>
          </w:p>
        </w:tc>
      </w:tr>
      <w:tr w:rsidR="008117D4" w:rsidRPr="00D525A4" w14:paraId="5CBC7557" w14:textId="77777777" w:rsidTr="00B11DA4">
        <w:tc>
          <w:tcPr>
            <w:tcW w:w="714" w:type="dxa"/>
            <w:tcBorders>
              <w:bottom w:val="single" w:sz="2" w:space="0" w:color="auto"/>
            </w:tcBorders>
            <w:shd w:val="clear" w:color="auto" w:fill="auto"/>
          </w:tcPr>
          <w:p w14:paraId="70E19540" w14:textId="5B862543" w:rsidR="008117D4" w:rsidRPr="00D525A4" w:rsidRDefault="00700450" w:rsidP="00B11DA4">
            <w:pPr>
              <w:pStyle w:val="Tabletext"/>
            </w:pPr>
            <w:r w:rsidRPr="00D525A4">
              <w:t>5</w:t>
            </w:r>
          </w:p>
        </w:tc>
        <w:tc>
          <w:tcPr>
            <w:tcW w:w="1833" w:type="dxa"/>
            <w:tcBorders>
              <w:bottom w:val="single" w:sz="2" w:space="0" w:color="auto"/>
            </w:tcBorders>
            <w:shd w:val="clear" w:color="auto" w:fill="auto"/>
          </w:tcPr>
          <w:p w14:paraId="1927A8B9" w14:textId="5E92CA2D" w:rsidR="008117D4" w:rsidRPr="00D525A4" w:rsidRDefault="008117D4" w:rsidP="00B11DA4">
            <w:pPr>
              <w:pStyle w:val="Tabletext"/>
            </w:pPr>
            <w:r w:rsidRPr="00D525A4">
              <w:t>the transfer of value is a refund of a card</w:t>
            </w:r>
            <w:r w:rsidR="00D525A4">
              <w:noBreakHyphen/>
            </w:r>
            <w:r w:rsidRPr="00D525A4">
              <w:t>based pull payment</w:t>
            </w:r>
          </w:p>
        </w:tc>
        <w:tc>
          <w:tcPr>
            <w:tcW w:w="1843" w:type="dxa"/>
            <w:tcBorders>
              <w:bottom w:val="single" w:sz="2" w:space="0" w:color="auto"/>
            </w:tcBorders>
            <w:shd w:val="clear" w:color="auto" w:fill="auto"/>
          </w:tcPr>
          <w:p w14:paraId="21807296" w14:textId="77777777" w:rsidR="008117D4" w:rsidRPr="00D525A4" w:rsidRDefault="008117D4" w:rsidP="00B11DA4">
            <w:pPr>
              <w:pStyle w:val="Tabletext"/>
            </w:pPr>
            <w:r w:rsidRPr="00D525A4">
              <w:t>not applicable</w:t>
            </w:r>
          </w:p>
        </w:tc>
        <w:tc>
          <w:tcPr>
            <w:tcW w:w="1842" w:type="dxa"/>
            <w:tcBorders>
              <w:bottom w:val="single" w:sz="2" w:space="0" w:color="auto"/>
            </w:tcBorders>
            <w:shd w:val="clear" w:color="auto" w:fill="auto"/>
          </w:tcPr>
          <w:p w14:paraId="57B8B2DE" w14:textId="77777777" w:rsidR="008117D4" w:rsidRPr="00D525A4" w:rsidRDefault="008117D4" w:rsidP="00B11DA4">
            <w:pPr>
              <w:pStyle w:val="Tabletext"/>
            </w:pPr>
            <w:r w:rsidRPr="00D525A4">
              <w:t>not applicable</w:t>
            </w:r>
          </w:p>
        </w:tc>
        <w:tc>
          <w:tcPr>
            <w:tcW w:w="2127" w:type="dxa"/>
            <w:tcBorders>
              <w:bottom w:val="single" w:sz="2" w:space="0" w:color="auto"/>
            </w:tcBorders>
            <w:shd w:val="clear" w:color="auto" w:fill="auto"/>
          </w:tcPr>
          <w:p w14:paraId="63B2C856" w14:textId="30C8ADBD" w:rsidR="008117D4" w:rsidRPr="00D525A4" w:rsidRDefault="008117D4" w:rsidP="00B11DA4">
            <w:pPr>
              <w:pStyle w:val="Tabletext"/>
            </w:pPr>
            <w:r w:rsidRPr="00D525A4">
              <w:t>card number of the card the payer used in relation to the card</w:t>
            </w:r>
            <w:r w:rsidR="00D525A4">
              <w:noBreakHyphen/>
            </w:r>
            <w:r w:rsidRPr="00D525A4">
              <w:t>based pull payment that is refunded</w:t>
            </w:r>
          </w:p>
        </w:tc>
      </w:tr>
      <w:tr w:rsidR="008117D4" w:rsidRPr="00D525A4" w14:paraId="205F8798" w14:textId="77777777" w:rsidTr="00B11DA4">
        <w:tc>
          <w:tcPr>
            <w:tcW w:w="714" w:type="dxa"/>
            <w:tcBorders>
              <w:top w:val="single" w:sz="2" w:space="0" w:color="auto"/>
              <w:bottom w:val="single" w:sz="12" w:space="0" w:color="auto"/>
            </w:tcBorders>
            <w:shd w:val="clear" w:color="auto" w:fill="auto"/>
          </w:tcPr>
          <w:p w14:paraId="44EE6C3D" w14:textId="0DC7494A" w:rsidR="008117D4" w:rsidRPr="00D525A4" w:rsidRDefault="00700450" w:rsidP="00B11DA4">
            <w:pPr>
              <w:pStyle w:val="Tabletext"/>
            </w:pPr>
            <w:r w:rsidRPr="00D525A4">
              <w:t>6</w:t>
            </w:r>
          </w:p>
        </w:tc>
        <w:tc>
          <w:tcPr>
            <w:tcW w:w="1833" w:type="dxa"/>
            <w:tcBorders>
              <w:top w:val="single" w:sz="2" w:space="0" w:color="auto"/>
              <w:bottom w:val="single" w:sz="12" w:space="0" w:color="auto"/>
            </w:tcBorders>
            <w:shd w:val="clear" w:color="auto" w:fill="auto"/>
          </w:tcPr>
          <w:p w14:paraId="09BB2DA4" w14:textId="1D1F7A19" w:rsidR="008117D4" w:rsidRPr="00D525A4" w:rsidRDefault="008117D4" w:rsidP="00B11DA4">
            <w:pPr>
              <w:pStyle w:val="Tabletext"/>
            </w:pPr>
            <w:r w:rsidRPr="00D525A4">
              <w:t>the value is being transferred to a self</w:t>
            </w:r>
            <w:r w:rsidR="00D525A4">
              <w:noBreakHyphen/>
            </w:r>
            <w:r w:rsidRPr="00D525A4">
              <w:t>hosted virtual asset wallet</w:t>
            </w:r>
          </w:p>
        </w:tc>
        <w:tc>
          <w:tcPr>
            <w:tcW w:w="1843" w:type="dxa"/>
            <w:tcBorders>
              <w:top w:val="single" w:sz="2" w:space="0" w:color="auto"/>
              <w:bottom w:val="single" w:sz="12" w:space="0" w:color="auto"/>
            </w:tcBorders>
            <w:shd w:val="clear" w:color="auto" w:fill="auto"/>
          </w:tcPr>
          <w:p w14:paraId="6CD29902" w14:textId="77777777" w:rsidR="008117D4" w:rsidRPr="00D525A4" w:rsidRDefault="008117D4" w:rsidP="00B11DA4">
            <w:pPr>
              <w:pStyle w:val="Tablea"/>
            </w:pPr>
            <w:r w:rsidRPr="00D525A4">
              <w:t>(a) payer information; and</w:t>
            </w:r>
          </w:p>
          <w:p w14:paraId="6644D6EA" w14:textId="77777777" w:rsidR="008117D4" w:rsidRPr="00D525A4" w:rsidRDefault="008117D4" w:rsidP="00B11DA4">
            <w:pPr>
              <w:pStyle w:val="Tablea"/>
            </w:pPr>
            <w:r w:rsidRPr="00D525A4">
              <w:t>(b) payee information</w:t>
            </w:r>
          </w:p>
        </w:tc>
        <w:tc>
          <w:tcPr>
            <w:tcW w:w="1842" w:type="dxa"/>
            <w:tcBorders>
              <w:top w:val="single" w:sz="2" w:space="0" w:color="auto"/>
              <w:bottom w:val="single" w:sz="12" w:space="0" w:color="auto"/>
            </w:tcBorders>
            <w:shd w:val="clear" w:color="auto" w:fill="auto"/>
          </w:tcPr>
          <w:p w14:paraId="79F5AC24" w14:textId="77777777" w:rsidR="008117D4" w:rsidRPr="00D525A4" w:rsidRDefault="008117D4" w:rsidP="00B11DA4">
            <w:pPr>
              <w:pStyle w:val="Tabletext"/>
            </w:pPr>
            <w:r w:rsidRPr="00D525A4">
              <w:t>payer information</w:t>
            </w:r>
          </w:p>
        </w:tc>
        <w:tc>
          <w:tcPr>
            <w:tcW w:w="2127" w:type="dxa"/>
            <w:tcBorders>
              <w:top w:val="single" w:sz="2" w:space="0" w:color="auto"/>
              <w:bottom w:val="single" w:sz="12" w:space="0" w:color="auto"/>
            </w:tcBorders>
            <w:shd w:val="clear" w:color="auto" w:fill="auto"/>
          </w:tcPr>
          <w:p w14:paraId="60D9D8D0" w14:textId="77777777" w:rsidR="008117D4" w:rsidRPr="00D525A4" w:rsidRDefault="008117D4" w:rsidP="00B11DA4">
            <w:pPr>
              <w:pStyle w:val="Tabletext"/>
            </w:pPr>
            <w:r w:rsidRPr="00D525A4">
              <w:t>not applicable</w:t>
            </w:r>
          </w:p>
        </w:tc>
      </w:tr>
    </w:tbl>
    <w:p w14:paraId="0BE19881" w14:textId="05F2CFFA" w:rsidR="008117D4" w:rsidRPr="00D525A4" w:rsidRDefault="008117D4" w:rsidP="008117D4">
      <w:pPr>
        <w:pStyle w:val="notetext"/>
      </w:pPr>
      <w:r w:rsidRPr="00D525A4">
        <w:t>Note 1:</w:t>
      </w:r>
      <w:r w:rsidRPr="00D525A4">
        <w:tab/>
        <w:t xml:space="preserve">For columns 2 and 3 of </w:t>
      </w:r>
      <w:r w:rsidR="00606BBD" w:rsidRPr="00D525A4">
        <w:t>items </w:t>
      </w:r>
      <w:r w:rsidR="00700450" w:rsidRPr="00D525A4">
        <w:t>4</w:t>
      </w:r>
      <w:r w:rsidRPr="00D525A4">
        <w:t xml:space="preserve"> and </w:t>
      </w:r>
      <w:r w:rsidR="00700450" w:rsidRPr="00D525A4">
        <w:t>5</w:t>
      </w:r>
      <w:r w:rsidRPr="00D525A4">
        <w:t xml:space="preserve"> of the table, subsection </w:t>
      </w:r>
      <w:r w:rsidR="00EC097E" w:rsidRPr="00D525A4">
        <w:t>7</w:t>
      </w:r>
      <w:r w:rsidR="00D525A4">
        <w:noBreakHyphen/>
      </w:r>
      <w:r w:rsidR="00EC097E" w:rsidRPr="00D525A4">
        <w:t>6</w:t>
      </w:r>
      <w:r w:rsidRPr="00D525A4">
        <w:t>(5) provides that paragraphs 64(2)(a) and (b) of the Act do not apply to a transfer of value that is a card</w:t>
      </w:r>
      <w:r w:rsidR="00D525A4">
        <w:noBreakHyphen/>
      </w:r>
      <w:r w:rsidRPr="00D525A4">
        <w:t>based pull payment.</w:t>
      </w:r>
    </w:p>
    <w:p w14:paraId="68A44EDF" w14:textId="4F216D7B" w:rsidR="008117D4" w:rsidRPr="00D525A4" w:rsidRDefault="008117D4" w:rsidP="008117D4">
      <w:pPr>
        <w:pStyle w:val="notetext"/>
      </w:pPr>
      <w:r w:rsidRPr="00D525A4">
        <w:t>Note 2:</w:t>
      </w:r>
      <w:r w:rsidRPr="00D525A4">
        <w:tab/>
        <w:t xml:space="preserve">For column 4 of </w:t>
      </w:r>
      <w:r w:rsidR="00606BBD" w:rsidRPr="00D525A4">
        <w:t>item </w:t>
      </w:r>
      <w:r w:rsidR="00700450" w:rsidRPr="00D525A4">
        <w:t>6</w:t>
      </w:r>
      <w:r w:rsidRPr="00D525A4">
        <w:t xml:space="preserve"> of the table, subsection </w:t>
      </w:r>
      <w:r w:rsidR="00EC097E" w:rsidRPr="00D525A4">
        <w:t>7</w:t>
      </w:r>
      <w:r w:rsidR="00D525A4">
        <w:noBreakHyphen/>
      </w:r>
      <w:r w:rsidR="00EC097E" w:rsidRPr="00D525A4">
        <w:t>6</w:t>
      </w:r>
      <w:r w:rsidRPr="00D525A4">
        <w:t xml:space="preserve">(6) provides that </w:t>
      </w:r>
      <w:r w:rsidR="0013261E" w:rsidRPr="00D525A4">
        <w:t>sub</w:t>
      </w:r>
      <w:r w:rsidR="0010391B" w:rsidRPr="00D525A4">
        <w:t>section 6</w:t>
      </w:r>
      <w:r w:rsidRPr="00D525A4">
        <w:t>4(3) of the Act does not apply to a transfer of value if the value is being transferred to a self</w:t>
      </w:r>
      <w:r w:rsidR="00D525A4">
        <w:noBreakHyphen/>
      </w:r>
      <w:r w:rsidRPr="00D525A4">
        <w:t>hosted virtual asset wallet.</w:t>
      </w:r>
    </w:p>
    <w:p w14:paraId="0272C231" w14:textId="767877CB" w:rsidR="008117D4" w:rsidRPr="00D525A4" w:rsidRDefault="008117D4" w:rsidP="008117D4">
      <w:pPr>
        <w:pStyle w:val="notetext"/>
      </w:pPr>
      <w:r w:rsidRPr="00D525A4">
        <w:t>Note 3:</w:t>
      </w:r>
      <w:r w:rsidRPr="00D525A4">
        <w:tab/>
        <w:t xml:space="preserve">Obligations on reporting entities also arise under </w:t>
      </w:r>
      <w:r w:rsidR="009B58BE" w:rsidRPr="00D525A4">
        <w:t>sections 2</w:t>
      </w:r>
      <w:r w:rsidRPr="00D525A4">
        <w:t>8 (initial customer due diligence) and 30 (ongoing customer due diligence) of the Act.</w:t>
      </w:r>
    </w:p>
    <w:p w14:paraId="07908AFA" w14:textId="5071E259" w:rsidR="008117D4" w:rsidRPr="00D525A4" w:rsidRDefault="00EC097E" w:rsidP="008117D4">
      <w:pPr>
        <w:pStyle w:val="ActHead5"/>
      </w:pPr>
      <w:bookmarkStart w:id="155" w:name="_Toc198225039"/>
      <w:r w:rsidRPr="00D525A4">
        <w:rPr>
          <w:rStyle w:val="CharSectno"/>
        </w:rPr>
        <w:t>7</w:t>
      </w:r>
      <w:r w:rsidR="00D525A4">
        <w:rPr>
          <w:rStyle w:val="CharSectno"/>
        </w:rPr>
        <w:noBreakHyphen/>
      </w:r>
      <w:r w:rsidRPr="00D525A4">
        <w:rPr>
          <w:rStyle w:val="CharSectno"/>
        </w:rPr>
        <w:t>4</w:t>
      </w:r>
      <w:r w:rsidR="008117D4" w:rsidRPr="00D525A4">
        <w:t xml:space="preserve">  Obligations of beneficiary institutions—monitoring for receipt of information</w:t>
      </w:r>
      <w:bookmarkEnd w:id="155"/>
    </w:p>
    <w:p w14:paraId="4F303CA3" w14:textId="713222CC" w:rsidR="008117D4" w:rsidRPr="00D525A4" w:rsidRDefault="008117D4" w:rsidP="008117D4">
      <w:pPr>
        <w:pStyle w:val="subsection"/>
      </w:pPr>
      <w:r w:rsidRPr="00D525A4">
        <w:tab/>
      </w:r>
      <w:r w:rsidRPr="00D525A4">
        <w:tab/>
        <w:t xml:space="preserve">For the purposes of </w:t>
      </w:r>
      <w:r w:rsidR="00FE1FDA" w:rsidRPr="00D525A4">
        <w:t>paragraph 6</w:t>
      </w:r>
      <w:r w:rsidRPr="00D525A4">
        <w:t>5(2)</w:t>
      </w:r>
      <w:r w:rsidR="003504E9" w:rsidRPr="00D525A4">
        <w:t>(a)</w:t>
      </w:r>
      <w:r w:rsidRPr="00D525A4">
        <w:t xml:space="preserve"> of the Act, if the circumstances mentioned in column 1 of an item of the following table apply in relation to a transfer of value, the information that the beneficiary institution must take reasonable steps to monitor whether it has received is such information relating to the transfer of value as is set out in column 2 of the item.</w:t>
      </w:r>
    </w:p>
    <w:p w14:paraId="0893234F" w14:textId="77777777" w:rsidR="008117D4" w:rsidRPr="00D525A4" w:rsidRDefault="008117D4" w:rsidP="008117D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8117D4" w:rsidRPr="00D525A4" w14:paraId="0FB7B9F5" w14:textId="77777777" w:rsidTr="00B11DA4">
        <w:trPr>
          <w:tblHeader/>
        </w:trPr>
        <w:tc>
          <w:tcPr>
            <w:tcW w:w="8312" w:type="dxa"/>
            <w:gridSpan w:val="3"/>
            <w:tcBorders>
              <w:top w:val="single" w:sz="12" w:space="0" w:color="auto"/>
              <w:bottom w:val="single" w:sz="6" w:space="0" w:color="auto"/>
            </w:tcBorders>
            <w:shd w:val="clear" w:color="auto" w:fill="auto"/>
          </w:tcPr>
          <w:p w14:paraId="0FBE39AF" w14:textId="77777777" w:rsidR="008117D4" w:rsidRPr="00D525A4" w:rsidRDefault="008117D4" w:rsidP="00B11DA4">
            <w:pPr>
              <w:pStyle w:val="TableHeading"/>
            </w:pPr>
            <w:r w:rsidRPr="00D525A4">
              <w:t>Obligations of beneficiary institutions—monitoring for receipt of information</w:t>
            </w:r>
          </w:p>
        </w:tc>
      </w:tr>
      <w:tr w:rsidR="008117D4" w:rsidRPr="00D525A4" w14:paraId="19FF3506" w14:textId="77777777" w:rsidTr="00B11DA4">
        <w:trPr>
          <w:tblHeader/>
        </w:trPr>
        <w:tc>
          <w:tcPr>
            <w:tcW w:w="714" w:type="dxa"/>
            <w:tcBorders>
              <w:top w:val="single" w:sz="6" w:space="0" w:color="auto"/>
              <w:bottom w:val="nil"/>
            </w:tcBorders>
            <w:shd w:val="clear" w:color="auto" w:fill="auto"/>
          </w:tcPr>
          <w:p w14:paraId="16659524" w14:textId="77777777" w:rsidR="008117D4" w:rsidRPr="00D525A4" w:rsidRDefault="008117D4" w:rsidP="00B11DA4">
            <w:pPr>
              <w:pStyle w:val="TableHeading"/>
            </w:pPr>
            <w:r w:rsidRPr="00D525A4">
              <w:t>Item</w:t>
            </w:r>
          </w:p>
        </w:tc>
        <w:tc>
          <w:tcPr>
            <w:tcW w:w="3799" w:type="dxa"/>
            <w:tcBorders>
              <w:top w:val="single" w:sz="6" w:space="0" w:color="auto"/>
              <w:bottom w:val="nil"/>
            </w:tcBorders>
            <w:shd w:val="clear" w:color="auto" w:fill="auto"/>
          </w:tcPr>
          <w:p w14:paraId="52175534" w14:textId="77777777" w:rsidR="008117D4" w:rsidRPr="00D525A4" w:rsidRDefault="008117D4" w:rsidP="00B11DA4">
            <w:pPr>
              <w:pStyle w:val="TableHeading"/>
            </w:pPr>
            <w:r w:rsidRPr="00D525A4">
              <w:t>Colum 1</w:t>
            </w:r>
          </w:p>
        </w:tc>
        <w:tc>
          <w:tcPr>
            <w:tcW w:w="3799" w:type="dxa"/>
            <w:tcBorders>
              <w:top w:val="single" w:sz="6" w:space="0" w:color="auto"/>
              <w:bottom w:val="nil"/>
            </w:tcBorders>
            <w:shd w:val="clear" w:color="auto" w:fill="auto"/>
          </w:tcPr>
          <w:p w14:paraId="642C7E89" w14:textId="77777777" w:rsidR="008117D4" w:rsidRPr="00D525A4" w:rsidRDefault="008117D4" w:rsidP="00B11DA4">
            <w:pPr>
              <w:pStyle w:val="TableHeading"/>
            </w:pPr>
            <w:r w:rsidRPr="00D525A4">
              <w:t>Column 2</w:t>
            </w:r>
          </w:p>
        </w:tc>
      </w:tr>
      <w:tr w:rsidR="008117D4" w:rsidRPr="00D525A4" w14:paraId="068A001C" w14:textId="77777777" w:rsidTr="00B11DA4">
        <w:trPr>
          <w:tblHeader/>
        </w:trPr>
        <w:tc>
          <w:tcPr>
            <w:tcW w:w="714" w:type="dxa"/>
            <w:tcBorders>
              <w:top w:val="nil"/>
              <w:bottom w:val="single" w:sz="12" w:space="0" w:color="auto"/>
            </w:tcBorders>
            <w:shd w:val="clear" w:color="auto" w:fill="auto"/>
          </w:tcPr>
          <w:p w14:paraId="6EA1E631" w14:textId="77777777" w:rsidR="008117D4" w:rsidRPr="00D525A4" w:rsidRDefault="008117D4" w:rsidP="00B11DA4">
            <w:pPr>
              <w:pStyle w:val="TableHeading"/>
            </w:pPr>
          </w:p>
        </w:tc>
        <w:tc>
          <w:tcPr>
            <w:tcW w:w="3799" w:type="dxa"/>
            <w:tcBorders>
              <w:top w:val="nil"/>
              <w:bottom w:val="single" w:sz="12" w:space="0" w:color="auto"/>
            </w:tcBorders>
            <w:shd w:val="clear" w:color="auto" w:fill="auto"/>
          </w:tcPr>
          <w:p w14:paraId="5408DCC9" w14:textId="77777777" w:rsidR="008117D4" w:rsidRPr="00D525A4" w:rsidRDefault="008117D4" w:rsidP="00B11DA4">
            <w:pPr>
              <w:pStyle w:val="TableHeading"/>
            </w:pPr>
            <w:r w:rsidRPr="00D525A4">
              <w:t>Circumstances</w:t>
            </w:r>
          </w:p>
        </w:tc>
        <w:tc>
          <w:tcPr>
            <w:tcW w:w="3799" w:type="dxa"/>
            <w:tcBorders>
              <w:top w:val="nil"/>
              <w:bottom w:val="single" w:sz="12" w:space="0" w:color="auto"/>
            </w:tcBorders>
            <w:shd w:val="clear" w:color="auto" w:fill="auto"/>
          </w:tcPr>
          <w:p w14:paraId="730AF5F0" w14:textId="77777777" w:rsidR="008117D4" w:rsidRPr="00D525A4" w:rsidRDefault="008117D4" w:rsidP="00B11DA4">
            <w:pPr>
              <w:pStyle w:val="TableHeading"/>
            </w:pPr>
            <w:r w:rsidRPr="00D525A4">
              <w:t>Information to monitor</w:t>
            </w:r>
          </w:p>
        </w:tc>
      </w:tr>
      <w:tr w:rsidR="008117D4" w:rsidRPr="00D525A4" w14:paraId="006EA757" w14:textId="77777777" w:rsidTr="00B11DA4">
        <w:tc>
          <w:tcPr>
            <w:tcW w:w="714" w:type="dxa"/>
            <w:tcBorders>
              <w:top w:val="single" w:sz="12" w:space="0" w:color="auto"/>
            </w:tcBorders>
            <w:shd w:val="clear" w:color="auto" w:fill="auto"/>
          </w:tcPr>
          <w:p w14:paraId="7732F8D4" w14:textId="77777777" w:rsidR="008117D4" w:rsidRPr="00D525A4" w:rsidRDefault="008117D4" w:rsidP="00B11DA4">
            <w:pPr>
              <w:pStyle w:val="Tabletext"/>
            </w:pPr>
            <w:r w:rsidRPr="00D525A4">
              <w:t>1</w:t>
            </w:r>
          </w:p>
        </w:tc>
        <w:tc>
          <w:tcPr>
            <w:tcW w:w="3799" w:type="dxa"/>
            <w:tcBorders>
              <w:top w:val="single" w:sz="12" w:space="0" w:color="auto"/>
            </w:tcBorders>
            <w:shd w:val="clear" w:color="auto" w:fill="auto"/>
          </w:tcPr>
          <w:p w14:paraId="7980C1DE" w14:textId="7CCE7624" w:rsidR="008117D4" w:rsidRPr="00D525A4" w:rsidRDefault="008117D4" w:rsidP="00B11DA4">
            <w:pPr>
              <w:pStyle w:val="Tabletext"/>
            </w:pPr>
            <w:r w:rsidRPr="00D525A4">
              <w:t xml:space="preserve">none of the circumstances mentioned in </w:t>
            </w:r>
            <w:r w:rsidR="0010391B" w:rsidRPr="00D525A4">
              <w:t>items 2</w:t>
            </w:r>
            <w:r w:rsidRPr="00D525A4">
              <w:t xml:space="preserve"> to </w:t>
            </w:r>
            <w:r w:rsidR="00700450" w:rsidRPr="00D525A4">
              <w:t>7</w:t>
            </w:r>
            <w:r w:rsidRPr="00D525A4">
              <w:t xml:space="preserve"> apply</w:t>
            </w:r>
          </w:p>
        </w:tc>
        <w:tc>
          <w:tcPr>
            <w:tcW w:w="3799" w:type="dxa"/>
            <w:tcBorders>
              <w:top w:val="single" w:sz="12" w:space="0" w:color="auto"/>
            </w:tcBorders>
            <w:shd w:val="clear" w:color="auto" w:fill="auto"/>
          </w:tcPr>
          <w:p w14:paraId="5B9A4E5E" w14:textId="77777777" w:rsidR="008117D4" w:rsidRPr="00D525A4" w:rsidRDefault="008117D4" w:rsidP="00B11DA4">
            <w:pPr>
              <w:pStyle w:val="Tablea"/>
            </w:pPr>
            <w:r w:rsidRPr="00D525A4">
              <w:t>(a) payer information; and</w:t>
            </w:r>
          </w:p>
          <w:p w14:paraId="49BD5B91" w14:textId="77777777" w:rsidR="008117D4" w:rsidRPr="00D525A4" w:rsidRDefault="008117D4" w:rsidP="00B11DA4">
            <w:pPr>
              <w:pStyle w:val="Tabletext"/>
            </w:pPr>
            <w:r w:rsidRPr="00D525A4">
              <w:t>(b) payee information</w:t>
            </w:r>
          </w:p>
        </w:tc>
      </w:tr>
      <w:tr w:rsidR="008117D4" w:rsidRPr="00D525A4" w14:paraId="372F8897" w14:textId="77777777" w:rsidTr="00B11DA4">
        <w:tc>
          <w:tcPr>
            <w:tcW w:w="714" w:type="dxa"/>
            <w:shd w:val="clear" w:color="auto" w:fill="auto"/>
          </w:tcPr>
          <w:p w14:paraId="30166A08" w14:textId="77777777" w:rsidR="008117D4" w:rsidRPr="00D525A4" w:rsidRDefault="008117D4" w:rsidP="00B11DA4">
            <w:pPr>
              <w:pStyle w:val="Tabletext"/>
            </w:pPr>
            <w:r w:rsidRPr="00D525A4">
              <w:lastRenderedPageBreak/>
              <w:t>2</w:t>
            </w:r>
          </w:p>
        </w:tc>
        <w:tc>
          <w:tcPr>
            <w:tcW w:w="3799" w:type="dxa"/>
            <w:shd w:val="clear" w:color="auto" w:fill="auto"/>
          </w:tcPr>
          <w:p w14:paraId="66EE7BF0" w14:textId="77777777" w:rsidR="008117D4" w:rsidRPr="00D525A4" w:rsidRDefault="008117D4" w:rsidP="00B11DA4">
            <w:pPr>
              <w:pStyle w:val="Tablea"/>
            </w:pPr>
            <w:r w:rsidRPr="00D525A4">
              <w:t>(a) the transfer of value is a domestic transfer of value; and</w:t>
            </w:r>
          </w:p>
          <w:p w14:paraId="66159305" w14:textId="2D845DF1" w:rsidR="008117D4" w:rsidRPr="00D525A4" w:rsidRDefault="008117D4" w:rsidP="00B11DA4">
            <w:pPr>
              <w:pStyle w:val="Tablea"/>
            </w:pPr>
            <w:r w:rsidRPr="00D525A4">
              <w:t>(b) the beneficiary institution receives the transfer message for the transfer of value through BECS</w:t>
            </w:r>
            <w:r w:rsidR="00700450" w:rsidRPr="00D525A4">
              <w:t>, BPAY or DEFT</w:t>
            </w:r>
          </w:p>
        </w:tc>
        <w:tc>
          <w:tcPr>
            <w:tcW w:w="3799" w:type="dxa"/>
            <w:shd w:val="clear" w:color="auto" w:fill="auto"/>
          </w:tcPr>
          <w:p w14:paraId="64B60D77" w14:textId="77777777" w:rsidR="008117D4" w:rsidRPr="00D525A4" w:rsidRDefault="008117D4" w:rsidP="00B11DA4">
            <w:pPr>
              <w:pStyle w:val="Tabletext"/>
            </w:pPr>
            <w:r w:rsidRPr="00D525A4">
              <w:t>tracing information</w:t>
            </w:r>
          </w:p>
        </w:tc>
      </w:tr>
      <w:tr w:rsidR="008117D4" w:rsidRPr="00D525A4" w14:paraId="5514FC35" w14:textId="77777777" w:rsidTr="00B11DA4">
        <w:tc>
          <w:tcPr>
            <w:tcW w:w="714" w:type="dxa"/>
            <w:shd w:val="clear" w:color="auto" w:fill="auto"/>
          </w:tcPr>
          <w:p w14:paraId="268A950A" w14:textId="28277334" w:rsidR="008117D4" w:rsidRPr="00D525A4" w:rsidRDefault="00700450" w:rsidP="00B11DA4">
            <w:pPr>
              <w:pStyle w:val="Tabletext"/>
            </w:pPr>
            <w:r w:rsidRPr="00D525A4">
              <w:t>3</w:t>
            </w:r>
          </w:p>
        </w:tc>
        <w:tc>
          <w:tcPr>
            <w:tcW w:w="3799" w:type="dxa"/>
            <w:shd w:val="clear" w:color="auto" w:fill="auto"/>
          </w:tcPr>
          <w:p w14:paraId="0FA4C6E5" w14:textId="77777777" w:rsidR="008117D4" w:rsidRPr="00D525A4" w:rsidRDefault="003E126A" w:rsidP="003E126A">
            <w:pPr>
              <w:pStyle w:val="Tablea"/>
            </w:pPr>
            <w:r w:rsidRPr="00D525A4">
              <w:t xml:space="preserve">(a) </w:t>
            </w:r>
            <w:r w:rsidR="008117D4" w:rsidRPr="00D525A4">
              <w:t>the transfer message for the transfer of value contains information relating to multiple transfers of value from a payer</w:t>
            </w:r>
            <w:r w:rsidRPr="00D525A4">
              <w:t>; and</w:t>
            </w:r>
          </w:p>
          <w:p w14:paraId="2D846D83" w14:textId="1F1A2577" w:rsidR="003E126A" w:rsidRPr="00D525A4" w:rsidRDefault="003E126A" w:rsidP="003E126A">
            <w:pPr>
              <w:pStyle w:val="Tablea"/>
            </w:pPr>
            <w:r w:rsidRPr="00D525A4">
              <w:t xml:space="preserve">(b) </w:t>
            </w:r>
            <w:r w:rsidR="00A45F84" w:rsidRPr="00D525A4">
              <w:t xml:space="preserve">the </w:t>
            </w:r>
            <w:r w:rsidR="002E66AC" w:rsidRPr="00D525A4">
              <w:t>circumstances</w:t>
            </w:r>
            <w:r w:rsidR="00A45F84" w:rsidRPr="00D525A4">
              <w:t xml:space="preserve"> mentioned in </w:t>
            </w:r>
            <w:r w:rsidR="0010391B" w:rsidRPr="00D525A4">
              <w:t>item 2</w:t>
            </w:r>
            <w:r w:rsidR="00A45F84" w:rsidRPr="00D525A4">
              <w:t xml:space="preserve"> do not apply</w:t>
            </w:r>
          </w:p>
        </w:tc>
        <w:tc>
          <w:tcPr>
            <w:tcW w:w="3799" w:type="dxa"/>
            <w:shd w:val="clear" w:color="auto" w:fill="auto"/>
          </w:tcPr>
          <w:p w14:paraId="4C69FC00" w14:textId="77777777" w:rsidR="008117D4" w:rsidRPr="00D525A4" w:rsidRDefault="008117D4" w:rsidP="00B11DA4">
            <w:pPr>
              <w:pStyle w:val="Tablea"/>
            </w:pPr>
            <w:r w:rsidRPr="00D525A4">
              <w:t>(a) payer information; and</w:t>
            </w:r>
          </w:p>
          <w:p w14:paraId="18F57BCC" w14:textId="77777777" w:rsidR="008117D4" w:rsidRPr="00D525A4" w:rsidRDefault="008117D4" w:rsidP="00B11DA4">
            <w:pPr>
              <w:pStyle w:val="Tablea"/>
            </w:pPr>
            <w:r w:rsidRPr="00D525A4">
              <w:t>(b) for each transfer of value in the transfer message:</w:t>
            </w:r>
          </w:p>
          <w:p w14:paraId="1C9AF4E3" w14:textId="77777777" w:rsidR="008117D4" w:rsidRPr="00D525A4" w:rsidRDefault="008117D4" w:rsidP="00B11DA4">
            <w:pPr>
              <w:pStyle w:val="Tablei"/>
            </w:pPr>
            <w:r w:rsidRPr="00D525A4">
              <w:t>(i) tracing information; and</w:t>
            </w:r>
          </w:p>
          <w:p w14:paraId="7FB16FA5" w14:textId="77777777" w:rsidR="008117D4" w:rsidRPr="00D525A4" w:rsidRDefault="008117D4" w:rsidP="00B11DA4">
            <w:pPr>
              <w:pStyle w:val="Tablei"/>
            </w:pPr>
            <w:r w:rsidRPr="00D525A4">
              <w:t>(ii) payee information</w:t>
            </w:r>
          </w:p>
        </w:tc>
      </w:tr>
      <w:tr w:rsidR="008117D4" w:rsidRPr="00D525A4" w14:paraId="673C1BB6" w14:textId="77777777" w:rsidTr="00B11DA4">
        <w:tc>
          <w:tcPr>
            <w:tcW w:w="714" w:type="dxa"/>
            <w:shd w:val="clear" w:color="auto" w:fill="auto"/>
          </w:tcPr>
          <w:p w14:paraId="211C736B" w14:textId="7ADE3B27" w:rsidR="008117D4" w:rsidRPr="00D525A4" w:rsidRDefault="00700450" w:rsidP="00B11DA4">
            <w:pPr>
              <w:pStyle w:val="Tabletext"/>
            </w:pPr>
            <w:r w:rsidRPr="00D525A4">
              <w:t>4</w:t>
            </w:r>
          </w:p>
        </w:tc>
        <w:tc>
          <w:tcPr>
            <w:tcW w:w="3799" w:type="dxa"/>
            <w:shd w:val="clear" w:color="auto" w:fill="auto"/>
          </w:tcPr>
          <w:p w14:paraId="5B849481" w14:textId="226EEFAE" w:rsidR="008117D4" w:rsidRPr="00D525A4" w:rsidRDefault="008117D4" w:rsidP="00B11DA4">
            <w:pPr>
              <w:pStyle w:val="Tabletext"/>
            </w:pPr>
            <w:r w:rsidRPr="00D525A4">
              <w:t>the transfer of value is a card</w:t>
            </w:r>
            <w:r w:rsidR="00D525A4">
              <w:noBreakHyphen/>
            </w:r>
            <w:r w:rsidRPr="00D525A4">
              <w:t>based pull payment</w:t>
            </w:r>
          </w:p>
        </w:tc>
        <w:tc>
          <w:tcPr>
            <w:tcW w:w="3799" w:type="dxa"/>
            <w:shd w:val="clear" w:color="auto" w:fill="auto"/>
          </w:tcPr>
          <w:p w14:paraId="08420164" w14:textId="7E5DF65E" w:rsidR="008117D4" w:rsidRPr="00D525A4" w:rsidRDefault="008117D4" w:rsidP="00B11DA4">
            <w:pPr>
              <w:pStyle w:val="Tabletext"/>
            </w:pPr>
            <w:r w:rsidRPr="00D525A4">
              <w:t>card number of the card the payer used in relation to the card</w:t>
            </w:r>
            <w:r w:rsidR="00D525A4">
              <w:noBreakHyphen/>
            </w:r>
            <w:r w:rsidRPr="00D525A4">
              <w:t>based pull payment</w:t>
            </w:r>
          </w:p>
        </w:tc>
      </w:tr>
      <w:tr w:rsidR="008117D4" w:rsidRPr="00D525A4" w14:paraId="09490F50" w14:textId="77777777" w:rsidTr="00B11DA4">
        <w:tc>
          <w:tcPr>
            <w:tcW w:w="714" w:type="dxa"/>
            <w:shd w:val="clear" w:color="auto" w:fill="auto"/>
          </w:tcPr>
          <w:p w14:paraId="080012C7" w14:textId="1ACB9A46" w:rsidR="008117D4" w:rsidRPr="00D525A4" w:rsidRDefault="00700450" w:rsidP="00B11DA4">
            <w:pPr>
              <w:pStyle w:val="Tabletext"/>
            </w:pPr>
            <w:r w:rsidRPr="00D525A4">
              <w:t>5</w:t>
            </w:r>
          </w:p>
        </w:tc>
        <w:tc>
          <w:tcPr>
            <w:tcW w:w="3799" w:type="dxa"/>
            <w:shd w:val="clear" w:color="auto" w:fill="auto"/>
          </w:tcPr>
          <w:p w14:paraId="05DD00DD" w14:textId="192397D2" w:rsidR="008117D4" w:rsidRPr="00D525A4" w:rsidRDefault="008117D4" w:rsidP="00B11DA4">
            <w:pPr>
              <w:pStyle w:val="Tabletext"/>
            </w:pPr>
            <w:r w:rsidRPr="00D525A4">
              <w:t>the transfer of value is a refund of a card</w:t>
            </w:r>
            <w:r w:rsidR="00D525A4">
              <w:noBreakHyphen/>
            </w:r>
            <w:r w:rsidRPr="00D525A4">
              <w:t>based pull payment</w:t>
            </w:r>
          </w:p>
        </w:tc>
        <w:tc>
          <w:tcPr>
            <w:tcW w:w="3799" w:type="dxa"/>
            <w:shd w:val="clear" w:color="auto" w:fill="auto"/>
          </w:tcPr>
          <w:p w14:paraId="0A76C3FA" w14:textId="395FACB2" w:rsidR="008117D4" w:rsidRPr="00D525A4" w:rsidRDefault="008117D4" w:rsidP="00B11DA4">
            <w:pPr>
              <w:pStyle w:val="Tabletext"/>
            </w:pPr>
            <w:r w:rsidRPr="00D525A4">
              <w:t>card number of the card the payer used in relation to the card</w:t>
            </w:r>
            <w:r w:rsidR="00D525A4">
              <w:noBreakHyphen/>
            </w:r>
            <w:r w:rsidRPr="00D525A4">
              <w:t>based pull payment that is refunded</w:t>
            </w:r>
          </w:p>
        </w:tc>
      </w:tr>
      <w:tr w:rsidR="008117D4" w:rsidRPr="00D525A4" w14:paraId="09A6458E" w14:textId="77777777" w:rsidTr="00B11DA4">
        <w:tc>
          <w:tcPr>
            <w:tcW w:w="714" w:type="dxa"/>
            <w:tcBorders>
              <w:bottom w:val="single" w:sz="2" w:space="0" w:color="auto"/>
            </w:tcBorders>
            <w:shd w:val="clear" w:color="auto" w:fill="auto"/>
          </w:tcPr>
          <w:p w14:paraId="52DD1A19" w14:textId="2A1175AE" w:rsidR="008117D4" w:rsidRPr="00D525A4" w:rsidRDefault="00700450" w:rsidP="00B11DA4">
            <w:pPr>
              <w:pStyle w:val="Tabletext"/>
            </w:pPr>
            <w:r w:rsidRPr="00D525A4">
              <w:t>6</w:t>
            </w:r>
          </w:p>
        </w:tc>
        <w:tc>
          <w:tcPr>
            <w:tcW w:w="3799" w:type="dxa"/>
            <w:tcBorders>
              <w:bottom w:val="single" w:sz="2" w:space="0" w:color="auto"/>
            </w:tcBorders>
            <w:shd w:val="clear" w:color="auto" w:fill="auto"/>
          </w:tcPr>
          <w:p w14:paraId="073F071A" w14:textId="77777777" w:rsidR="008117D4" w:rsidRPr="00D525A4" w:rsidRDefault="008117D4" w:rsidP="00B11DA4">
            <w:pPr>
              <w:pStyle w:val="Tablea"/>
            </w:pPr>
            <w:r w:rsidRPr="00D525A4">
              <w:t>(a) the value being transferred is money; and</w:t>
            </w:r>
          </w:p>
          <w:p w14:paraId="18003801" w14:textId="77777777" w:rsidR="008117D4" w:rsidRPr="00D525A4" w:rsidRDefault="008117D4" w:rsidP="00B11DA4">
            <w:pPr>
              <w:pStyle w:val="Tablea"/>
            </w:pPr>
            <w:r w:rsidRPr="00D525A4">
              <w:t>(b) the money is in a foreign country and, as a result of the provision of an international value transfer service, the money will be in Australia; and</w:t>
            </w:r>
          </w:p>
          <w:p w14:paraId="5B7143BF" w14:textId="77777777" w:rsidR="008117D4" w:rsidRPr="00D525A4" w:rsidRDefault="008117D4" w:rsidP="00B11DA4">
            <w:pPr>
              <w:pStyle w:val="Tablea"/>
            </w:pPr>
            <w:r w:rsidRPr="00D525A4">
              <w:t>(c) the beneficiary institution receives the transfer message for the transfer of value through BECS</w:t>
            </w:r>
          </w:p>
        </w:tc>
        <w:tc>
          <w:tcPr>
            <w:tcW w:w="3799" w:type="dxa"/>
            <w:tcBorders>
              <w:bottom w:val="single" w:sz="2" w:space="0" w:color="auto"/>
            </w:tcBorders>
            <w:shd w:val="clear" w:color="auto" w:fill="auto"/>
          </w:tcPr>
          <w:p w14:paraId="2340D7DF" w14:textId="77777777" w:rsidR="008117D4" w:rsidRPr="00D525A4" w:rsidRDefault="008117D4" w:rsidP="00B11DA4">
            <w:pPr>
              <w:pStyle w:val="Tabletext"/>
            </w:pPr>
            <w:r w:rsidRPr="00D525A4">
              <w:t>tracing information</w:t>
            </w:r>
          </w:p>
        </w:tc>
      </w:tr>
      <w:tr w:rsidR="008117D4" w:rsidRPr="00D525A4" w14:paraId="36BD0DAA" w14:textId="77777777" w:rsidTr="00B11DA4">
        <w:tc>
          <w:tcPr>
            <w:tcW w:w="714" w:type="dxa"/>
            <w:tcBorders>
              <w:top w:val="single" w:sz="2" w:space="0" w:color="auto"/>
              <w:bottom w:val="single" w:sz="12" w:space="0" w:color="auto"/>
            </w:tcBorders>
            <w:shd w:val="clear" w:color="auto" w:fill="auto"/>
          </w:tcPr>
          <w:p w14:paraId="4AC70D43" w14:textId="3C821D2D" w:rsidR="008117D4" w:rsidRPr="00D525A4" w:rsidRDefault="00700450" w:rsidP="00B11DA4">
            <w:pPr>
              <w:pStyle w:val="Tabletext"/>
            </w:pPr>
            <w:r w:rsidRPr="00D525A4">
              <w:t>7</w:t>
            </w:r>
          </w:p>
        </w:tc>
        <w:tc>
          <w:tcPr>
            <w:tcW w:w="3799" w:type="dxa"/>
            <w:tcBorders>
              <w:top w:val="single" w:sz="2" w:space="0" w:color="auto"/>
              <w:bottom w:val="single" w:sz="12" w:space="0" w:color="auto"/>
            </w:tcBorders>
            <w:shd w:val="clear" w:color="auto" w:fill="auto"/>
          </w:tcPr>
          <w:p w14:paraId="5154916A" w14:textId="5A400C1A" w:rsidR="008117D4" w:rsidRPr="00D525A4" w:rsidRDefault="008117D4" w:rsidP="00B11DA4">
            <w:pPr>
              <w:pStyle w:val="Tabletext"/>
            </w:pPr>
            <w:r w:rsidRPr="00D525A4">
              <w:t>the value is transferred from a self</w:t>
            </w:r>
            <w:r w:rsidR="00D525A4">
              <w:noBreakHyphen/>
            </w:r>
            <w:r w:rsidRPr="00D525A4">
              <w:t>hosted virtual asset wallet</w:t>
            </w:r>
          </w:p>
        </w:tc>
        <w:tc>
          <w:tcPr>
            <w:tcW w:w="3799" w:type="dxa"/>
            <w:tcBorders>
              <w:top w:val="single" w:sz="2" w:space="0" w:color="auto"/>
              <w:bottom w:val="single" w:sz="12" w:space="0" w:color="auto"/>
            </w:tcBorders>
            <w:shd w:val="clear" w:color="auto" w:fill="auto"/>
          </w:tcPr>
          <w:p w14:paraId="345B73B0" w14:textId="77777777" w:rsidR="008117D4" w:rsidRPr="00D525A4" w:rsidRDefault="008117D4" w:rsidP="00B11DA4">
            <w:pPr>
              <w:pStyle w:val="Tablea"/>
            </w:pPr>
            <w:r w:rsidRPr="00D525A4">
              <w:t>(a) payer information; and</w:t>
            </w:r>
          </w:p>
          <w:p w14:paraId="3371FB28" w14:textId="77777777" w:rsidR="008117D4" w:rsidRPr="00D525A4" w:rsidRDefault="008117D4" w:rsidP="00B11DA4">
            <w:pPr>
              <w:pStyle w:val="Tabletext"/>
            </w:pPr>
            <w:r w:rsidRPr="00D525A4">
              <w:t>(b) payee information</w:t>
            </w:r>
          </w:p>
        </w:tc>
      </w:tr>
    </w:tbl>
    <w:p w14:paraId="0DC20E53" w14:textId="4AB1301B" w:rsidR="008117D4" w:rsidRPr="00D525A4" w:rsidRDefault="00EC097E" w:rsidP="008117D4">
      <w:pPr>
        <w:pStyle w:val="ActHead5"/>
      </w:pPr>
      <w:bookmarkStart w:id="156" w:name="_Toc198225040"/>
      <w:r w:rsidRPr="00D525A4">
        <w:rPr>
          <w:rStyle w:val="CharSectno"/>
        </w:rPr>
        <w:t>7</w:t>
      </w:r>
      <w:r w:rsidR="00D525A4">
        <w:rPr>
          <w:rStyle w:val="CharSectno"/>
        </w:rPr>
        <w:noBreakHyphen/>
      </w:r>
      <w:r w:rsidRPr="00D525A4">
        <w:rPr>
          <w:rStyle w:val="CharSectno"/>
        </w:rPr>
        <w:t>5</w:t>
      </w:r>
      <w:r w:rsidR="008117D4" w:rsidRPr="00D525A4">
        <w:t xml:space="preserve">  Obligations of intermediary institutions—monitoring for receipt of information and passing on information</w:t>
      </w:r>
      <w:bookmarkEnd w:id="156"/>
    </w:p>
    <w:p w14:paraId="68AC3847" w14:textId="77777777" w:rsidR="008117D4" w:rsidRPr="00D525A4" w:rsidRDefault="008117D4" w:rsidP="008117D4">
      <w:pPr>
        <w:pStyle w:val="subsection"/>
      </w:pPr>
      <w:r w:rsidRPr="00D525A4">
        <w:tab/>
      </w:r>
      <w:r w:rsidRPr="00D525A4">
        <w:tab/>
        <w:t>If the circumstances mentioned in column 1 of an item in the following table apply in relation to a transfer of value:</w:t>
      </w:r>
    </w:p>
    <w:p w14:paraId="31F7E97D" w14:textId="6954E392" w:rsidR="008117D4" w:rsidRPr="00D525A4" w:rsidRDefault="008117D4" w:rsidP="008117D4">
      <w:pPr>
        <w:pStyle w:val="paragraph"/>
      </w:pPr>
      <w:r w:rsidRPr="00D525A4">
        <w:tab/>
        <w:t>(a)</w:t>
      </w:r>
      <w:r w:rsidRPr="00D525A4">
        <w:tab/>
        <w:t xml:space="preserve">for the purposes of </w:t>
      </w:r>
      <w:r w:rsidR="0013261E" w:rsidRPr="00D525A4">
        <w:t>sub</w:t>
      </w:r>
      <w:r w:rsidR="0010391B" w:rsidRPr="00D525A4">
        <w:t>section 6</w:t>
      </w:r>
      <w:r w:rsidRPr="00D525A4">
        <w:t>6(2) of the Act, the information that an intermediary institution must take reasonable steps to monitor whether it has received is such information relating to the transfer of value as is set out in column 2 of the item; and</w:t>
      </w:r>
    </w:p>
    <w:p w14:paraId="0EC53741" w14:textId="79A548AF" w:rsidR="008117D4" w:rsidRPr="00D525A4" w:rsidRDefault="008117D4" w:rsidP="008117D4">
      <w:pPr>
        <w:pStyle w:val="paragraph"/>
      </w:pPr>
      <w:r w:rsidRPr="00D525A4">
        <w:tab/>
        <w:t>(b)</w:t>
      </w:r>
      <w:r w:rsidRPr="00D525A4">
        <w:tab/>
        <w:t xml:space="preserve">for the purposes of </w:t>
      </w:r>
      <w:r w:rsidR="00FE1FDA" w:rsidRPr="00D525A4">
        <w:t>paragraph 6</w:t>
      </w:r>
      <w:r w:rsidRPr="00D525A4">
        <w:t>6(4)(a) of the Act, the information the intermediary institution must include is such information set out in column 3 of the item as is received from the previous institution in the value transfer chain.</w:t>
      </w:r>
    </w:p>
    <w:p w14:paraId="3EE58018" w14:textId="77777777" w:rsidR="008117D4" w:rsidRPr="00D525A4" w:rsidRDefault="008117D4" w:rsidP="008117D4">
      <w:pPr>
        <w:pStyle w:val="Tabletext"/>
      </w:pPr>
    </w:p>
    <w:tbl>
      <w:tblPr>
        <w:tblW w:w="8501"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2552"/>
        <w:gridCol w:w="2552"/>
      </w:tblGrid>
      <w:tr w:rsidR="008117D4" w:rsidRPr="00D525A4" w14:paraId="345CD6BE" w14:textId="77777777" w:rsidTr="00B11DA4">
        <w:trPr>
          <w:tblHeader/>
        </w:trPr>
        <w:tc>
          <w:tcPr>
            <w:tcW w:w="8501" w:type="dxa"/>
            <w:gridSpan w:val="4"/>
            <w:tcBorders>
              <w:top w:val="single" w:sz="12" w:space="0" w:color="auto"/>
              <w:bottom w:val="single" w:sz="6" w:space="0" w:color="auto"/>
            </w:tcBorders>
            <w:shd w:val="clear" w:color="auto" w:fill="auto"/>
          </w:tcPr>
          <w:p w14:paraId="056FFD80" w14:textId="77777777" w:rsidR="008117D4" w:rsidRPr="00D525A4" w:rsidRDefault="008117D4" w:rsidP="00B11DA4">
            <w:pPr>
              <w:pStyle w:val="TableHeading"/>
            </w:pPr>
            <w:r w:rsidRPr="00D525A4">
              <w:lastRenderedPageBreak/>
              <w:t>Obligations of intermediary institutions—monitoring for receipt of information and passing on information</w:t>
            </w:r>
          </w:p>
        </w:tc>
      </w:tr>
      <w:tr w:rsidR="008117D4" w:rsidRPr="00D525A4" w14:paraId="52F67EC3" w14:textId="77777777" w:rsidTr="00B11DA4">
        <w:trPr>
          <w:tblHeader/>
        </w:trPr>
        <w:tc>
          <w:tcPr>
            <w:tcW w:w="714" w:type="dxa"/>
            <w:tcBorders>
              <w:top w:val="single" w:sz="6" w:space="0" w:color="auto"/>
              <w:bottom w:val="nil"/>
            </w:tcBorders>
            <w:shd w:val="clear" w:color="auto" w:fill="auto"/>
          </w:tcPr>
          <w:p w14:paraId="68A6F630" w14:textId="77777777" w:rsidR="008117D4" w:rsidRPr="00D525A4" w:rsidRDefault="008117D4" w:rsidP="00B11DA4">
            <w:pPr>
              <w:pStyle w:val="TableHeading"/>
            </w:pPr>
            <w:r w:rsidRPr="00D525A4">
              <w:t>Item</w:t>
            </w:r>
          </w:p>
        </w:tc>
        <w:tc>
          <w:tcPr>
            <w:tcW w:w="2683" w:type="dxa"/>
            <w:tcBorders>
              <w:top w:val="single" w:sz="6" w:space="0" w:color="auto"/>
              <w:bottom w:val="nil"/>
            </w:tcBorders>
            <w:shd w:val="clear" w:color="auto" w:fill="auto"/>
          </w:tcPr>
          <w:p w14:paraId="683F6DFF" w14:textId="77777777" w:rsidR="008117D4" w:rsidRPr="00D525A4" w:rsidRDefault="008117D4" w:rsidP="00B11DA4">
            <w:pPr>
              <w:pStyle w:val="TableHeading"/>
            </w:pPr>
            <w:r w:rsidRPr="00D525A4">
              <w:t>Column 1</w:t>
            </w:r>
          </w:p>
        </w:tc>
        <w:tc>
          <w:tcPr>
            <w:tcW w:w="2552" w:type="dxa"/>
            <w:tcBorders>
              <w:top w:val="single" w:sz="6" w:space="0" w:color="auto"/>
              <w:bottom w:val="nil"/>
            </w:tcBorders>
            <w:shd w:val="clear" w:color="auto" w:fill="auto"/>
          </w:tcPr>
          <w:p w14:paraId="646BB251" w14:textId="77777777" w:rsidR="008117D4" w:rsidRPr="00D525A4" w:rsidRDefault="008117D4" w:rsidP="00B11DA4">
            <w:pPr>
              <w:pStyle w:val="TableHeading"/>
            </w:pPr>
            <w:r w:rsidRPr="00D525A4">
              <w:t>Column 2</w:t>
            </w:r>
          </w:p>
        </w:tc>
        <w:tc>
          <w:tcPr>
            <w:tcW w:w="2552" w:type="dxa"/>
            <w:tcBorders>
              <w:top w:val="single" w:sz="6" w:space="0" w:color="auto"/>
              <w:bottom w:val="nil"/>
            </w:tcBorders>
            <w:shd w:val="clear" w:color="auto" w:fill="auto"/>
          </w:tcPr>
          <w:p w14:paraId="12A4AFBC" w14:textId="77777777" w:rsidR="008117D4" w:rsidRPr="00D525A4" w:rsidRDefault="008117D4" w:rsidP="00B11DA4">
            <w:pPr>
              <w:pStyle w:val="TableHeading"/>
            </w:pPr>
            <w:r w:rsidRPr="00D525A4">
              <w:t>Column 3</w:t>
            </w:r>
          </w:p>
        </w:tc>
      </w:tr>
      <w:tr w:rsidR="008117D4" w:rsidRPr="00D525A4" w14:paraId="304B6F6B" w14:textId="77777777" w:rsidTr="00B11DA4">
        <w:trPr>
          <w:tblHeader/>
        </w:trPr>
        <w:tc>
          <w:tcPr>
            <w:tcW w:w="714" w:type="dxa"/>
            <w:tcBorders>
              <w:top w:val="nil"/>
              <w:bottom w:val="single" w:sz="12" w:space="0" w:color="auto"/>
            </w:tcBorders>
            <w:shd w:val="clear" w:color="auto" w:fill="auto"/>
          </w:tcPr>
          <w:p w14:paraId="5569D2E9" w14:textId="77777777" w:rsidR="008117D4" w:rsidRPr="00D525A4" w:rsidRDefault="008117D4" w:rsidP="00B11DA4">
            <w:pPr>
              <w:pStyle w:val="TableHeading"/>
            </w:pPr>
          </w:p>
        </w:tc>
        <w:tc>
          <w:tcPr>
            <w:tcW w:w="2683" w:type="dxa"/>
            <w:tcBorders>
              <w:top w:val="nil"/>
              <w:bottom w:val="single" w:sz="12" w:space="0" w:color="auto"/>
            </w:tcBorders>
            <w:shd w:val="clear" w:color="auto" w:fill="auto"/>
          </w:tcPr>
          <w:p w14:paraId="57CD06D7" w14:textId="77777777" w:rsidR="008117D4" w:rsidRPr="00D525A4" w:rsidRDefault="008117D4" w:rsidP="00B11DA4">
            <w:pPr>
              <w:pStyle w:val="TableHeading"/>
            </w:pPr>
            <w:r w:rsidRPr="00D525A4">
              <w:t>Circumstances</w:t>
            </w:r>
          </w:p>
        </w:tc>
        <w:tc>
          <w:tcPr>
            <w:tcW w:w="2552" w:type="dxa"/>
            <w:tcBorders>
              <w:top w:val="nil"/>
              <w:bottom w:val="single" w:sz="12" w:space="0" w:color="auto"/>
            </w:tcBorders>
            <w:shd w:val="clear" w:color="auto" w:fill="auto"/>
          </w:tcPr>
          <w:p w14:paraId="6F8C49E8" w14:textId="77777777" w:rsidR="008117D4" w:rsidRPr="00D525A4" w:rsidRDefault="008117D4" w:rsidP="00B11DA4">
            <w:pPr>
              <w:pStyle w:val="TableHeading"/>
            </w:pPr>
            <w:r w:rsidRPr="00D525A4">
              <w:t>Information to monitor</w:t>
            </w:r>
          </w:p>
        </w:tc>
        <w:tc>
          <w:tcPr>
            <w:tcW w:w="2552" w:type="dxa"/>
            <w:tcBorders>
              <w:top w:val="nil"/>
              <w:bottom w:val="single" w:sz="12" w:space="0" w:color="auto"/>
            </w:tcBorders>
            <w:shd w:val="clear" w:color="auto" w:fill="auto"/>
          </w:tcPr>
          <w:p w14:paraId="73FC4762" w14:textId="77777777" w:rsidR="008117D4" w:rsidRPr="00D525A4" w:rsidRDefault="008117D4" w:rsidP="00B11DA4">
            <w:pPr>
              <w:pStyle w:val="TableHeading"/>
            </w:pPr>
            <w:r w:rsidRPr="00D525A4">
              <w:t>Information to pass on</w:t>
            </w:r>
          </w:p>
        </w:tc>
      </w:tr>
      <w:tr w:rsidR="008117D4" w:rsidRPr="00D525A4" w14:paraId="69CCE625" w14:textId="77777777" w:rsidTr="00B11DA4">
        <w:tc>
          <w:tcPr>
            <w:tcW w:w="714" w:type="dxa"/>
            <w:tcBorders>
              <w:top w:val="single" w:sz="12" w:space="0" w:color="auto"/>
            </w:tcBorders>
            <w:shd w:val="clear" w:color="auto" w:fill="auto"/>
          </w:tcPr>
          <w:p w14:paraId="58FE163D" w14:textId="77777777" w:rsidR="008117D4" w:rsidRPr="00D525A4" w:rsidRDefault="008117D4" w:rsidP="00B11DA4">
            <w:pPr>
              <w:pStyle w:val="Tabletext"/>
            </w:pPr>
            <w:r w:rsidRPr="00D525A4">
              <w:t>1</w:t>
            </w:r>
          </w:p>
        </w:tc>
        <w:tc>
          <w:tcPr>
            <w:tcW w:w="2683" w:type="dxa"/>
            <w:tcBorders>
              <w:top w:val="single" w:sz="12" w:space="0" w:color="auto"/>
            </w:tcBorders>
            <w:shd w:val="clear" w:color="auto" w:fill="auto"/>
          </w:tcPr>
          <w:p w14:paraId="26A80F1C" w14:textId="1E735022" w:rsidR="008117D4" w:rsidRPr="00D525A4" w:rsidRDefault="008117D4" w:rsidP="00B11DA4">
            <w:pPr>
              <w:pStyle w:val="Tabletext"/>
            </w:pPr>
            <w:r w:rsidRPr="00D525A4">
              <w:t xml:space="preserve">none of the circumstances mentioned in </w:t>
            </w:r>
            <w:r w:rsidR="0010391B" w:rsidRPr="00D525A4">
              <w:t>items 2</w:t>
            </w:r>
            <w:r w:rsidRPr="00D525A4">
              <w:t xml:space="preserve"> to </w:t>
            </w:r>
            <w:r w:rsidR="009B02AB" w:rsidRPr="00D525A4">
              <w:t>6</w:t>
            </w:r>
            <w:r w:rsidRPr="00D525A4">
              <w:t xml:space="preserve"> apply</w:t>
            </w:r>
          </w:p>
        </w:tc>
        <w:tc>
          <w:tcPr>
            <w:tcW w:w="2552" w:type="dxa"/>
            <w:tcBorders>
              <w:top w:val="single" w:sz="12" w:space="0" w:color="auto"/>
            </w:tcBorders>
            <w:shd w:val="clear" w:color="auto" w:fill="auto"/>
          </w:tcPr>
          <w:p w14:paraId="18585CB2" w14:textId="77777777" w:rsidR="008117D4" w:rsidRPr="00D525A4" w:rsidRDefault="008117D4" w:rsidP="00B11DA4">
            <w:pPr>
              <w:pStyle w:val="Tablea"/>
            </w:pPr>
            <w:r w:rsidRPr="00D525A4">
              <w:t>(a) payer information; and</w:t>
            </w:r>
          </w:p>
          <w:p w14:paraId="10E8E2FF" w14:textId="77777777" w:rsidR="008117D4" w:rsidRPr="00D525A4" w:rsidRDefault="008117D4" w:rsidP="00B11DA4">
            <w:pPr>
              <w:pStyle w:val="Tabletext"/>
            </w:pPr>
            <w:r w:rsidRPr="00D525A4">
              <w:t>(b) payee information</w:t>
            </w:r>
          </w:p>
        </w:tc>
        <w:tc>
          <w:tcPr>
            <w:tcW w:w="2552" w:type="dxa"/>
            <w:tcBorders>
              <w:top w:val="single" w:sz="12" w:space="0" w:color="auto"/>
            </w:tcBorders>
            <w:shd w:val="clear" w:color="auto" w:fill="auto"/>
          </w:tcPr>
          <w:p w14:paraId="51590B4E" w14:textId="77777777" w:rsidR="008117D4" w:rsidRPr="00D525A4" w:rsidRDefault="008117D4" w:rsidP="00B11DA4">
            <w:pPr>
              <w:pStyle w:val="Tabletext"/>
            </w:pPr>
            <w:r w:rsidRPr="00D525A4">
              <w:t>(a) payer information, and</w:t>
            </w:r>
          </w:p>
          <w:p w14:paraId="601391CA" w14:textId="77777777" w:rsidR="008117D4" w:rsidRPr="00D525A4" w:rsidRDefault="008117D4" w:rsidP="00B11DA4">
            <w:pPr>
              <w:pStyle w:val="Tabletext"/>
            </w:pPr>
            <w:r w:rsidRPr="00D525A4">
              <w:t>(b) payee information</w:t>
            </w:r>
          </w:p>
        </w:tc>
      </w:tr>
      <w:tr w:rsidR="008117D4" w:rsidRPr="00D525A4" w14:paraId="49B64F75" w14:textId="77777777" w:rsidTr="00B11DA4">
        <w:tc>
          <w:tcPr>
            <w:tcW w:w="714" w:type="dxa"/>
            <w:shd w:val="clear" w:color="auto" w:fill="auto"/>
          </w:tcPr>
          <w:p w14:paraId="74A60BA1" w14:textId="77777777" w:rsidR="008117D4" w:rsidRPr="00D525A4" w:rsidRDefault="008117D4" w:rsidP="00B11DA4">
            <w:pPr>
              <w:pStyle w:val="Tabletext"/>
            </w:pPr>
            <w:r w:rsidRPr="00D525A4">
              <w:t>2</w:t>
            </w:r>
          </w:p>
        </w:tc>
        <w:tc>
          <w:tcPr>
            <w:tcW w:w="2683" w:type="dxa"/>
            <w:shd w:val="clear" w:color="auto" w:fill="auto"/>
          </w:tcPr>
          <w:p w14:paraId="211918CD" w14:textId="77777777" w:rsidR="008117D4" w:rsidRPr="00D525A4" w:rsidRDefault="008117D4" w:rsidP="00B11DA4">
            <w:pPr>
              <w:pStyle w:val="Tablea"/>
            </w:pPr>
            <w:r w:rsidRPr="00D525A4">
              <w:t>(a) the transfer of value is a domestic transfer of value; and</w:t>
            </w:r>
          </w:p>
          <w:p w14:paraId="5AD926F2" w14:textId="7E879654" w:rsidR="008117D4" w:rsidRPr="00D525A4" w:rsidRDefault="008117D4" w:rsidP="00B11DA4">
            <w:pPr>
              <w:pStyle w:val="Tablea"/>
            </w:pPr>
            <w:r w:rsidRPr="00D525A4">
              <w:t>(b) the transfer message for the transfer of value is passed on through BECS</w:t>
            </w:r>
            <w:r w:rsidR="003E126A" w:rsidRPr="00D525A4">
              <w:t>, BPAY or DEFT</w:t>
            </w:r>
          </w:p>
        </w:tc>
        <w:tc>
          <w:tcPr>
            <w:tcW w:w="2552" w:type="dxa"/>
            <w:shd w:val="clear" w:color="auto" w:fill="auto"/>
          </w:tcPr>
          <w:p w14:paraId="57B7EDC6" w14:textId="77777777" w:rsidR="008117D4" w:rsidRPr="00D525A4" w:rsidRDefault="008117D4" w:rsidP="00B11DA4">
            <w:pPr>
              <w:pStyle w:val="Tabletext"/>
            </w:pPr>
            <w:r w:rsidRPr="00D525A4">
              <w:t>tracing information</w:t>
            </w:r>
          </w:p>
        </w:tc>
        <w:tc>
          <w:tcPr>
            <w:tcW w:w="2552" w:type="dxa"/>
            <w:shd w:val="clear" w:color="auto" w:fill="auto"/>
          </w:tcPr>
          <w:p w14:paraId="4629B94B" w14:textId="77777777" w:rsidR="008117D4" w:rsidRPr="00D525A4" w:rsidRDefault="008117D4" w:rsidP="00B11DA4">
            <w:pPr>
              <w:pStyle w:val="Tabletext"/>
            </w:pPr>
            <w:r w:rsidRPr="00D525A4">
              <w:t>tracing information</w:t>
            </w:r>
          </w:p>
        </w:tc>
      </w:tr>
      <w:tr w:rsidR="008117D4" w:rsidRPr="00D525A4" w14:paraId="3B497609" w14:textId="77777777" w:rsidTr="00B11DA4">
        <w:tc>
          <w:tcPr>
            <w:tcW w:w="714" w:type="dxa"/>
            <w:shd w:val="clear" w:color="auto" w:fill="auto"/>
          </w:tcPr>
          <w:p w14:paraId="7765295B" w14:textId="6520DD03" w:rsidR="008117D4" w:rsidRPr="00D525A4" w:rsidRDefault="009B02AB" w:rsidP="00B11DA4">
            <w:pPr>
              <w:pStyle w:val="Tabletext"/>
            </w:pPr>
            <w:r w:rsidRPr="00D525A4">
              <w:t>3</w:t>
            </w:r>
          </w:p>
        </w:tc>
        <w:tc>
          <w:tcPr>
            <w:tcW w:w="2683" w:type="dxa"/>
            <w:shd w:val="clear" w:color="auto" w:fill="auto"/>
          </w:tcPr>
          <w:p w14:paraId="6B35F8EB" w14:textId="77777777" w:rsidR="008117D4" w:rsidRPr="00D525A4" w:rsidRDefault="003E126A" w:rsidP="003E126A">
            <w:pPr>
              <w:pStyle w:val="Tablea"/>
            </w:pPr>
            <w:r w:rsidRPr="00D525A4">
              <w:t xml:space="preserve">(a) </w:t>
            </w:r>
            <w:r w:rsidR="008117D4" w:rsidRPr="00D525A4">
              <w:t>the transfer message for the transfer of value contains information relating to multiple transfers of value from a payer</w:t>
            </w:r>
            <w:r w:rsidRPr="00D525A4">
              <w:t>; and</w:t>
            </w:r>
          </w:p>
          <w:p w14:paraId="7EF082DD" w14:textId="708E5FA8" w:rsidR="003E126A" w:rsidRPr="00D525A4" w:rsidRDefault="003E126A" w:rsidP="003E126A">
            <w:pPr>
              <w:pStyle w:val="Tablea"/>
            </w:pPr>
            <w:r w:rsidRPr="00D525A4">
              <w:t xml:space="preserve">(b) </w:t>
            </w:r>
            <w:r w:rsidR="00A45F84" w:rsidRPr="00D525A4">
              <w:t xml:space="preserve">the </w:t>
            </w:r>
            <w:r w:rsidR="002E66AC" w:rsidRPr="00D525A4">
              <w:t>circumstances</w:t>
            </w:r>
            <w:r w:rsidR="00A45F84" w:rsidRPr="00D525A4">
              <w:t xml:space="preserve"> mentioned in </w:t>
            </w:r>
            <w:r w:rsidR="0010391B" w:rsidRPr="00D525A4">
              <w:t>item 2</w:t>
            </w:r>
            <w:r w:rsidR="00A45F84" w:rsidRPr="00D525A4">
              <w:t xml:space="preserve"> do not apply</w:t>
            </w:r>
          </w:p>
        </w:tc>
        <w:tc>
          <w:tcPr>
            <w:tcW w:w="2552" w:type="dxa"/>
            <w:shd w:val="clear" w:color="auto" w:fill="auto"/>
          </w:tcPr>
          <w:p w14:paraId="6BD94D65" w14:textId="77777777" w:rsidR="008117D4" w:rsidRPr="00D525A4" w:rsidRDefault="008117D4" w:rsidP="00B11DA4">
            <w:pPr>
              <w:pStyle w:val="Tablea"/>
            </w:pPr>
            <w:r w:rsidRPr="00D525A4">
              <w:t>(a) payer information, and</w:t>
            </w:r>
          </w:p>
          <w:p w14:paraId="0A7B184D" w14:textId="77777777" w:rsidR="008117D4" w:rsidRPr="00D525A4" w:rsidRDefault="008117D4" w:rsidP="00B11DA4">
            <w:pPr>
              <w:pStyle w:val="Tablea"/>
            </w:pPr>
            <w:r w:rsidRPr="00D525A4">
              <w:t>(b) for each transfer of value in the transfer message:</w:t>
            </w:r>
          </w:p>
          <w:p w14:paraId="2F5FF826" w14:textId="77777777" w:rsidR="008117D4" w:rsidRPr="00D525A4" w:rsidRDefault="008117D4" w:rsidP="00B11DA4">
            <w:pPr>
              <w:pStyle w:val="Tablei"/>
            </w:pPr>
            <w:r w:rsidRPr="00D525A4">
              <w:t>(i) tracing information, and</w:t>
            </w:r>
          </w:p>
          <w:p w14:paraId="0FBF89CC" w14:textId="77777777" w:rsidR="008117D4" w:rsidRPr="00D525A4" w:rsidRDefault="008117D4" w:rsidP="00B11DA4">
            <w:pPr>
              <w:pStyle w:val="Tablei"/>
            </w:pPr>
            <w:r w:rsidRPr="00D525A4">
              <w:t>(ii) payee information</w:t>
            </w:r>
          </w:p>
        </w:tc>
        <w:tc>
          <w:tcPr>
            <w:tcW w:w="2552" w:type="dxa"/>
            <w:shd w:val="clear" w:color="auto" w:fill="auto"/>
          </w:tcPr>
          <w:p w14:paraId="42160F3B" w14:textId="77777777" w:rsidR="008117D4" w:rsidRPr="00D525A4" w:rsidRDefault="008117D4" w:rsidP="00B11DA4">
            <w:pPr>
              <w:pStyle w:val="Tablea"/>
            </w:pPr>
            <w:r w:rsidRPr="00D525A4">
              <w:t>(a) payer information, and</w:t>
            </w:r>
          </w:p>
          <w:p w14:paraId="63532625" w14:textId="77777777" w:rsidR="008117D4" w:rsidRPr="00D525A4" w:rsidRDefault="008117D4" w:rsidP="00B11DA4">
            <w:pPr>
              <w:pStyle w:val="Tablea"/>
            </w:pPr>
            <w:r w:rsidRPr="00D525A4">
              <w:t>(b) for each transfer of value in the transfer message:</w:t>
            </w:r>
          </w:p>
          <w:p w14:paraId="07EB3FDF" w14:textId="77777777" w:rsidR="008117D4" w:rsidRPr="00D525A4" w:rsidRDefault="008117D4" w:rsidP="00B11DA4">
            <w:pPr>
              <w:pStyle w:val="Tablei"/>
            </w:pPr>
            <w:r w:rsidRPr="00D525A4">
              <w:t>(i) tracing information; and</w:t>
            </w:r>
          </w:p>
          <w:p w14:paraId="66FE0D19" w14:textId="77777777" w:rsidR="008117D4" w:rsidRPr="00D525A4" w:rsidRDefault="008117D4" w:rsidP="00B11DA4">
            <w:pPr>
              <w:pStyle w:val="Tablei"/>
            </w:pPr>
            <w:r w:rsidRPr="00D525A4">
              <w:t>(ii) payee information</w:t>
            </w:r>
          </w:p>
        </w:tc>
      </w:tr>
      <w:tr w:rsidR="008117D4" w:rsidRPr="00D525A4" w14:paraId="6CBF4EB3" w14:textId="77777777" w:rsidTr="00B11DA4">
        <w:tc>
          <w:tcPr>
            <w:tcW w:w="714" w:type="dxa"/>
            <w:tcBorders>
              <w:bottom w:val="single" w:sz="2" w:space="0" w:color="auto"/>
            </w:tcBorders>
            <w:shd w:val="clear" w:color="auto" w:fill="auto"/>
          </w:tcPr>
          <w:p w14:paraId="0C421E13" w14:textId="4992F70F" w:rsidR="008117D4" w:rsidRPr="00D525A4" w:rsidRDefault="009B02AB" w:rsidP="00B11DA4">
            <w:pPr>
              <w:pStyle w:val="Tabletext"/>
            </w:pPr>
            <w:r w:rsidRPr="00D525A4">
              <w:t>4</w:t>
            </w:r>
          </w:p>
        </w:tc>
        <w:tc>
          <w:tcPr>
            <w:tcW w:w="2683" w:type="dxa"/>
            <w:tcBorders>
              <w:bottom w:val="single" w:sz="2" w:space="0" w:color="auto"/>
            </w:tcBorders>
            <w:shd w:val="clear" w:color="auto" w:fill="auto"/>
          </w:tcPr>
          <w:p w14:paraId="5F887A78" w14:textId="4BA6B3B7" w:rsidR="008117D4" w:rsidRPr="00D525A4" w:rsidRDefault="008117D4" w:rsidP="00B11DA4">
            <w:pPr>
              <w:pStyle w:val="Tabletext"/>
            </w:pPr>
            <w:r w:rsidRPr="00D525A4">
              <w:t>the transfer of value is a card</w:t>
            </w:r>
            <w:r w:rsidR="00D525A4">
              <w:noBreakHyphen/>
            </w:r>
            <w:r w:rsidRPr="00D525A4">
              <w:t>based pull payment</w:t>
            </w:r>
          </w:p>
          <w:p w14:paraId="11CF36F2" w14:textId="77777777" w:rsidR="008117D4" w:rsidRPr="00D525A4" w:rsidRDefault="008117D4" w:rsidP="00B11DA4">
            <w:pPr>
              <w:pStyle w:val="Tablea"/>
            </w:pPr>
          </w:p>
        </w:tc>
        <w:tc>
          <w:tcPr>
            <w:tcW w:w="2552" w:type="dxa"/>
            <w:tcBorders>
              <w:bottom w:val="single" w:sz="2" w:space="0" w:color="auto"/>
            </w:tcBorders>
            <w:shd w:val="clear" w:color="auto" w:fill="auto"/>
          </w:tcPr>
          <w:p w14:paraId="557BA43A" w14:textId="7B6C8ED3" w:rsidR="008117D4" w:rsidRPr="00D525A4" w:rsidRDefault="008117D4" w:rsidP="00B11DA4">
            <w:pPr>
              <w:pStyle w:val="Tabletext"/>
            </w:pPr>
            <w:r w:rsidRPr="00D525A4">
              <w:t>card number of the card the payer used in relation to the card</w:t>
            </w:r>
            <w:r w:rsidR="00D525A4">
              <w:noBreakHyphen/>
            </w:r>
            <w:r w:rsidRPr="00D525A4">
              <w:t>based pull payment</w:t>
            </w:r>
          </w:p>
        </w:tc>
        <w:tc>
          <w:tcPr>
            <w:tcW w:w="2552" w:type="dxa"/>
            <w:tcBorders>
              <w:bottom w:val="single" w:sz="2" w:space="0" w:color="auto"/>
            </w:tcBorders>
            <w:shd w:val="clear" w:color="auto" w:fill="auto"/>
          </w:tcPr>
          <w:p w14:paraId="03581566" w14:textId="1758F936" w:rsidR="008117D4" w:rsidRPr="00D525A4" w:rsidRDefault="008117D4" w:rsidP="00B11DA4">
            <w:pPr>
              <w:pStyle w:val="Tabletext"/>
            </w:pPr>
            <w:r w:rsidRPr="00D525A4">
              <w:t>card number of the card the payer used in relation to the card</w:t>
            </w:r>
            <w:r w:rsidR="00D525A4">
              <w:noBreakHyphen/>
            </w:r>
            <w:r w:rsidRPr="00D525A4">
              <w:t>based pull payment</w:t>
            </w:r>
          </w:p>
          <w:p w14:paraId="653992BD" w14:textId="77777777" w:rsidR="008117D4" w:rsidRPr="00D525A4" w:rsidRDefault="008117D4" w:rsidP="00B11DA4">
            <w:pPr>
              <w:pStyle w:val="Tabletext"/>
            </w:pPr>
          </w:p>
        </w:tc>
      </w:tr>
      <w:tr w:rsidR="008117D4" w:rsidRPr="00D525A4" w14:paraId="612C9CEF" w14:textId="77777777" w:rsidTr="00B11DA4">
        <w:tc>
          <w:tcPr>
            <w:tcW w:w="714" w:type="dxa"/>
            <w:tcBorders>
              <w:bottom w:val="single" w:sz="2" w:space="0" w:color="auto"/>
            </w:tcBorders>
            <w:shd w:val="clear" w:color="auto" w:fill="auto"/>
          </w:tcPr>
          <w:p w14:paraId="023B1467" w14:textId="283152B1" w:rsidR="008117D4" w:rsidRPr="00D525A4" w:rsidRDefault="009B02AB" w:rsidP="00B11DA4">
            <w:pPr>
              <w:pStyle w:val="Tabletext"/>
            </w:pPr>
            <w:r w:rsidRPr="00D525A4">
              <w:t>5</w:t>
            </w:r>
          </w:p>
        </w:tc>
        <w:tc>
          <w:tcPr>
            <w:tcW w:w="2683" w:type="dxa"/>
            <w:tcBorders>
              <w:bottom w:val="single" w:sz="2" w:space="0" w:color="auto"/>
            </w:tcBorders>
            <w:shd w:val="clear" w:color="auto" w:fill="auto"/>
          </w:tcPr>
          <w:p w14:paraId="2F8A7222" w14:textId="52FACFB1" w:rsidR="008117D4" w:rsidRPr="00D525A4" w:rsidRDefault="008117D4" w:rsidP="00B11DA4">
            <w:pPr>
              <w:pStyle w:val="Tabletext"/>
            </w:pPr>
            <w:r w:rsidRPr="00D525A4">
              <w:t>the transfer of value is a refund of a card</w:t>
            </w:r>
            <w:r w:rsidR="00D525A4">
              <w:noBreakHyphen/>
            </w:r>
            <w:r w:rsidRPr="00D525A4">
              <w:t>based pull payment</w:t>
            </w:r>
          </w:p>
        </w:tc>
        <w:tc>
          <w:tcPr>
            <w:tcW w:w="2552" w:type="dxa"/>
            <w:tcBorders>
              <w:bottom w:val="single" w:sz="2" w:space="0" w:color="auto"/>
            </w:tcBorders>
            <w:shd w:val="clear" w:color="auto" w:fill="auto"/>
          </w:tcPr>
          <w:p w14:paraId="6D495D77" w14:textId="15A163C2" w:rsidR="008117D4" w:rsidRPr="00D525A4" w:rsidRDefault="008117D4" w:rsidP="00B11DA4">
            <w:pPr>
              <w:pStyle w:val="Tabletext"/>
            </w:pPr>
            <w:r w:rsidRPr="00D525A4">
              <w:t>card number of the card the payer used in relation to the card</w:t>
            </w:r>
            <w:r w:rsidR="00D525A4">
              <w:noBreakHyphen/>
            </w:r>
            <w:r w:rsidRPr="00D525A4">
              <w:t>based pull payment that is refunded</w:t>
            </w:r>
          </w:p>
        </w:tc>
        <w:tc>
          <w:tcPr>
            <w:tcW w:w="2552" w:type="dxa"/>
            <w:tcBorders>
              <w:bottom w:val="single" w:sz="2" w:space="0" w:color="auto"/>
            </w:tcBorders>
            <w:shd w:val="clear" w:color="auto" w:fill="auto"/>
          </w:tcPr>
          <w:p w14:paraId="32938A47" w14:textId="2DB413EE" w:rsidR="008117D4" w:rsidRPr="00D525A4" w:rsidRDefault="008117D4" w:rsidP="00B11DA4">
            <w:pPr>
              <w:pStyle w:val="Tabletext"/>
            </w:pPr>
            <w:r w:rsidRPr="00D525A4">
              <w:t>card number of the card the payer used in relation to the card</w:t>
            </w:r>
            <w:r w:rsidR="00D525A4">
              <w:noBreakHyphen/>
            </w:r>
            <w:r w:rsidRPr="00D525A4">
              <w:t>based pull payment that is refunded</w:t>
            </w:r>
          </w:p>
        </w:tc>
      </w:tr>
      <w:tr w:rsidR="008117D4" w:rsidRPr="00D525A4" w14:paraId="3E9A5C5E" w14:textId="77777777" w:rsidTr="00B11DA4">
        <w:tc>
          <w:tcPr>
            <w:tcW w:w="714" w:type="dxa"/>
            <w:tcBorders>
              <w:top w:val="single" w:sz="2" w:space="0" w:color="auto"/>
              <w:bottom w:val="single" w:sz="12" w:space="0" w:color="auto"/>
            </w:tcBorders>
            <w:shd w:val="clear" w:color="auto" w:fill="auto"/>
          </w:tcPr>
          <w:p w14:paraId="078D602F" w14:textId="01B5933E" w:rsidR="008117D4" w:rsidRPr="00D525A4" w:rsidRDefault="009B02AB" w:rsidP="00B11DA4">
            <w:pPr>
              <w:pStyle w:val="Tabletext"/>
            </w:pPr>
            <w:r w:rsidRPr="00D525A4">
              <w:t>6</w:t>
            </w:r>
          </w:p>
        </w:tc>
        <w:tc>
          <w:tcPr>
            <w:tcW w:w="2683" w:type="dxa"/>
            <w:tcBorders>
              <w:top w:val="single" w:sz="2" w:space="0" w:color="auto"/>
              <w:bottom w:val="single" w:sz="12" w:space="0" w:color="auto"/>
            </w:tcBorders>
            <w:shd w:val="clear" w:color="auto" w:fill="auto"/>
          </w:tcPr>
          <w:p w14:paraId="55AF9901" w14:textId="77777777" w:rsidR="008117D4" w:rsidRPr="00D525A4" w:rsidRDefault="008117D4" w:rsidP="00B11DA4">
            <w:pPr>
              <w:pStyle w:val="Tablea"/>
            </w:pPr>
            <w:r w:rsidRPr="00D525A4">
              <w:t>(a) the value being transferred is money; and</w:t>
            </w:r>
          </w:p>
          <w:p w14:paraId="4C8DA277" w14:textId="77777777" w:rsidR="008117D4" w:rsidRPr="00D525A4" w:rsidRDefault="008117D4" w:rsidP="00B11DA4">
            <w:pPr>
              <w:pStyle w:val="Tablea"/>
            </w:pPr>
            <w:r w:rsidRPr="00D525A4">
              <w:t>(b) the money is in a foreign country and, as a result of the provision of an international value transfer service, the money will be in Australia; and</w:t>
            </w:r>
          </w:p>
          <w:p w14:paraId="709E86AB" w14:textId="77777777" w:rsidR="008117D4" w:rsidRPr="00D525A4" w:rsidRDefault="008117D4" w:rsidP="00B11DA4">
            <w:pPr>
              <w:pStyle w:val="Tablea"/>
            </w:pPr>
            <w:r w:rsidRPr="00D525A4">
              <w:t>(c) the intermediary institution passes on the transfer message for the transfer of value through BECS</w:t>
            </w:r>
          </w:p>
        </w:tc>
        <w:tc>
          <w:tcPr>
            <w:tcW w:w="2552" w:type="dxa"/>
            <w:tcBorders>
              <w:top w:val="single" w:sz="2" w:space="0" w:color="auto"/>
              <w:bottom w:val="single" w:sz="12" w:space="0" w:color="auto"/>
            </w:tcBorders>
            <w:shd w:val="clear" w:color="auto" w:fill="auto"/>
          </w:tcPr>
          <w:p w14:paraId="0CA14D5A" w14:textId="77777777" w:rsidR="008117D4" w:rsidRPr="00D525A4" w:rsidRDefault="008117D4" w:rsidP="00B11DA4">
            <w:pPr>
              <w:pStyle w:val="Tablea"/>
            </w:pPr>
            <w:r w:rsidRPr="00D525A4">
              <w:t>(a) payer information; and</w:t>
            </w:r>
          </w:p>
          <w:p w14:paraId="232139A8" w14:textId="77777777" w:rsidR="008117D4" w:rsidRPr="00D525A4" w:rsidRDefault="008117D4" w:rsidP="00B11DA4">
            <w:pPr>
              <w:pStyle w:val="Tabletext"/>
            </w:pPr>
            <w:r w:rsidRPr="00D525A4">
              <w:t>(b) payee information</w:t>
            </w:r>
          </w:p>
        </w:tc>
        <w:tc>
          <w:tcPr>
            <w:tcW w:w="2552" w:type="dxa"/>
            <w:tcBorders>
              <w:top w:val="single" w:sz="2" w:space="0" w:color="auto"/>
              <w:bottom w:val="single" w:sz="12" w:space="0" w:color="auto"/>
            </w:tcBorders>
            <w:shd w:val="clear" w:color="auto" w:fill="auto"/>
          </w:tcPr>
          <w:p w14:paraId="4CADB234" w14:textId="77777777" w:rsidR="008117D4" w:rsidRPr="00D525A4" w:rsidRDefault="008117D4" w:rsidP="00B11DA4">
            <w:pPr>
              <w:pStyle w:val="Tablea"/>
            </w:pPr>
            <w:r w:rsidRPr="00D525A4">
              <w:t>tracing information</w:t>
            </w:r>
          </w:p>
        </w:tc>
      </w:tr>
    </w:tbl>
    <w:p w14:paraId="42D65611" w14:textId="3181ECA0" w:rsidR="008117D4" w:rsidRPr="00D525A4" w:rsidRDefault="0013261E" w:rsidP="008117D4">
      <w:pPr>
        <w:pStyle w:val="ActHead3"/>
        <w:pageBreakBefore/>
      </w:pPr>
      <w:bookmarkStart w:id="157" w:name="_Toc198225041"/>
      <w:r w:rsidRPr="00D525A4">
        <w:rPr>
          <w:rStyle w:val="CharDivNo"/>
        </w:rPr>
        <w:lastRenderedPageBreak/>
        <w:t>Division 3</w:t>
      </w:r>
      <w:r w:rsidR="008117D4" w:rsidRPr="00D525A4">
        <w:t>—</w:t>
      </w:r>
      <w:r w:rsidR="008117D4" w:rsidRPr="00D525A4">
        <w:rPr>
          <w:rStyle w:val="CharDivText"/>
        </w:rPr>
        <w:t>Transfers of value exemptions</w:t>
      </w:r>
      <w:bookmarkEnd w:id="157"/>
    </w:p>
    <w:p w14:paraId="33B0B4CD" w14:textId="6A955EF6" w:rsidR="008117D4" w:rsidRPr="00D525A4" w:rsidRDefault="00EC097E" w:rsidP="008117D4">
      <w:pPr>
        <w:pStyle w:val="ActHead5"/>
      </w:pPr>
      <w:bookmarkStart w:id="158" w:name="_Toc198225042"/>
      <w:r w:rsidRPr="00D525A4">
        <w:rPr>
          <w:rStyle w:val="CharSectno"/>
        </w:rPr>
        <w:t>7</w:t>
      </w:r>
      <w:r w:rsidR="00D525A4">
        <w:rPr>
          <w:rStyle w:val="CharSectno"/>
        </w:rPr>
        <w:noBreakHyphen/>
      </w:r>
      <w:r w:rsidRPr="00D525A4">
        <w:rPr>
          <w:rStyle w:val="CharSectno"/>
        </w:rPr>
        <w:t>6</w:t>
      </w:r>
      <w:r w:rsidR="008117D4" w:rsidRPr="00D525A4">
        <w:t xml:space="preserve">  Transfer of value exemptions</w:t>
      </w:r>
      <w:bookmarkEnd w:id="158"/>
    </w:p>
    <w:p w14:paraId="1D14E229" w14:textId="47B4E840" w:rsidR="008117D4" w:rsidRPr="00D525A4" w:rsidRDefault="008117D4" w:rsidP="008117D4">
      <w:pPr>
        <w:pStyle w:val="subsection"/>
      </w:pPr>
      <w:r w:rsidRPr="00D525A4">
        <w:tab/>
        <w:t>(1)</w:t>
      </w:r>
      <w:r w:rsidRPr="00D525A4">
        <w:tab/>
        <w:t xml:space="preserve">This section is made for the purposes of </w:t>
      </w:r>
      <w:r w:rsidR="00FE1FDA" w:rsidRPr="00D525A4">
        <w:t>paragraph 6</w:t>
      </w:r>
      <w:r w:rsidRPr="00D525A4">
        <w:t>7(1)(b) of the Act.</w:t>
      </w:r>
    </w:p>
    <w:p w14:paraId="4534EF86" w14:textId="5AD6A038" w:rsidR="008117D4" w:rsidRPr="00D525A4" w:rsidRDefault="008117D4" w:rsidP="008117D4">
      <w:pPr>
        <w:pStyle w:val="SubsectionHead"/>
      </w:pPr>
      <w:r w:rsidRPr="00D525A4">
        <w:t>Inter</w:t>
      </w:r>
      <w:r w:rsidR="00D525A4">
        <w:noBreakHyphen/>
      </w:r>
      <w:r w:rsidRPr="00D525A4">
        <w:t>financial institution transfers</w:t>
      </w:r>
    </w:p>
    <w:p w14:paraId="1AD5BD1A" w14:textId="1BABD8C1" w:rsidR="008117D4" w:rsidRPr="00D525A4" w:rsidRDefault="008117D4" w:rsidP="008117D4">
      <w:pPr>
        <w:pStyle w:val="subsection"/>
      </w:pPr>
      <w:r w:rsidRPr="00D525A4">
        <w:tab/>
        <w:t>(2)</w:t>
      </w:r>
      <w:r w:rsidRPr="00D525A4">
        <w:tab/>
      </w:r>
      <w:r w:rsidR="0010391B" w:rsidRPr="00D525A4">
        <w:t>Part 5</w:t>
      </w:r>
      <w:r w:rsidRPr="00D525A4">
        <w:t xml:space="preserve"> of the Act does not apply to a transfer of value if the payer and the payee are:</w:t>
      </w:r>
    </w:p>
    <w:p w14:paraId="14C4449F" w14:textId="77777777" w:rsidR="008117D4" w:rsidRPr="00D525A4" w:rsidRDefault="008117D4" w:rsidP="008117D4">
      <w:pPr>
        <w:pStyle w:val="paragraph"/>
      </w:pPr>
      <w:r w:rsidRPr="00D525A4">
        <w:tab/>
        <w:t>(a)</w:t>
      </w:r>
      <w:r w:rsidRPr="00D525A4">
        <w:tab/>
        <w:t>financial institutions; and</w:t>
      </w:r>
    </w:p>
    <w:p w14:paraId="488947C0" w14:textId="77777777" w:rsidR="008117D4" w:rsidRPr="00D525A4" w:rsidRDefault="008117D4" w:rsidP="008117D4">
      <w:pPr>
        <w:pStyle w:val="paragraph"/>
      </w:pPr>
      <w:r w:rsidRPr="00D525A4">
        <w:tab/>
        <w:t>(b)</w:t>
      </w:r>
      <w:r w:rsidRPr="00D525A4">
        <w:tab/>
        <w:t>acting on their own behalf.</w:t>
      </w:r>
    </w:p>
    <w:p w14:paraId="55926F3C" w14:textId="6906F917" w:rsidR="008117D4" w:rsidRPr="00D525A4" w:rsidRDefault="008117D4" w:rsidP="008117D4">
      <w:pPr>
        <w:pStyle w:val="subsection"/>
      </w:pPr>
      <w:r w:rsidRPr="00D525A4">
        <w:tab/>
        <w:t>(3)</w:t>
      </w:r>
      <w:r w:rsidRPr="00D525A4">
        <w:tab/>
      </w:r>
      <w:r w:rsidR="0010391B" w:rsidRPr="00D525A4">
        <w:t>Part 5</w:t>
      </w:r>
      <w:r w:rsidRPr="00D525A4">
        <w:t xml:space="preserve"> of the Act does not apply to a transfer of value if:</w:t>
      </w:r>
    </w:p>
    <w:p w14:paraId="6DC22C82" w14:textId="77777777" w:rsidR="008117D4" w:rsidRPr="00D525A4" w:rsidRDefault="008117D4" w:rsidP="008117D4">
      <w:pPr>
        <w:pStyle w:val="paragraph"/>
      </w:pPr>
      <w:r w:rsidRPr="00D525A4">
        <w:tab/>
        <w:t>(a)</w:t>
      </w:r>
      <w:r w:rsidRPr="00D525A4">
        <w:tab/>
        <w:t>the transfer message for the transfer of value is sent using the Society for Worldwide Interbank Financial Telecommunication payment delivery system; and</w:t>
      </w:r>
    </w:p>
    <w:p w14:paraId="4D325DA7" w14:textId="77777777" w:rsidR="008117D4" w:rsidRPr="00D525A4" w:rsidRDefault="008117D4" w:rsidP="008117D4">
      <w:pPr>
        <w:pStyle w:val="paragraph"/>
      </w:pPr>
      <w:r w:rsidRPr="00D525A4">
        <w:tab/>
        <w:t>(b)</w:t>
      </w:r>
      <w:r w:rsidRPr="00D525A4">
        <w:tab/>
        <w:t>the payer and the payee are:</w:t>
      </w:r>
    </w:p>
    <w:p w14:paraId="203FB533" w14:textId="77777777" w:rsidR="008117D4" w:rsidRPr="00D525A4" w:rsidRDefault="008117D4" w:rsidP="008117D4">
      <w:pPr>
        <w:pStyle w:val="paragraphsub"/>
      </w:pPr>
      <w:r w:rsidRPr="00D525A4">
        <w:tab/>
        <w:t>(i)</w:t>
      </w:r>
      <w:r w:rsidRPr="00D525A4">
        <w:tab/>
        <w:t xml:space="preserve">Supervised Financial Institutions within the meaning of the document titled </w:t>
      </w:r>
      <w:r w:rsidRPr="00D525A4">
        <w:rPr>
          <w:i/>
        </w:rPr>
        <w:t>SWIFT Corporate Rules</w:t>
      </w:r>
      <w:r w:rsidRPr="00D525A4">
        <w:t>, published by the Society for Worldwide Interbank Financial Telecommunications, as existing on the commencement of this instrument; and</w:t>
      </w:r>
    </w:p>
    <w:p w14:paraId="47171DB9" w14:textId="77777777" w:rsidR="008117D4" w:rsidRPr="00D525A4" w:rsidRDefault="008117D4" w:rsidP="008117D4">
      <w:pPr>
        <w:pStyle w:val="paragraphsub"/>
      </w:pPr>
      <w:r w:rsidRPr="00D525A4">
        <w:tab/>
        <w:t>(ii)</w:t>
      </w:r>
      <w:r w:rsidRPr="00D525A4">
        <w:tab/>
        <w:t>acting on their own behalf.</w:t>
      </w:r>
    </w:p>
    <w:p w14:paraId="5CDC24E3" w14:textId="412742E1" w:rsidR="008117D4" w:rsidRPr="00D525A4" w:rsidRDefault="008117D4" w:rsidP="008117D4">
      <w:pPr>
        <w:pStyle w:val="notetext"/>
      </w:pPr>
      <w:r w:rsidRPr="00D525A4">
        <w:t>Note:</w:t>
      </w:r>
      <w:r w:rsidRPr="00D525A4">
        <w:tab/>
        <w:t xml:space="preserve">The </w:t>
      </w:r>
      <w:r w:rsidRPr="00D525A4">
        <w:rPr>
          <w:i/>
        </w:rPr>
        <w:t>SWIFT Corporate Rules</w:t>
      </w:r>
      <w:r w:rsidRPr="00D525A4">
        <w:t xml:space="preserve"> could in 202</w:t>
      </w:r>
      <w:r w:rsidR="0031459B" w:rsidRPr="00D525A4">
        <w:t>5</w:t>
      </w:r>
      <w:r w:rsidRPr="00D525A4">
        <w:t xml:space="preserve"> be viewed on the Society for Worldwide Interbank Financial Telecommunications website (https://www.swift.com).</w:t>
      </w:r>
    </w:p>
    <w:p w14:paraId="047FFAC6" w14:textId="77777777" w:rsidR="008117D4" w:rsidRPr="00D525A4" w:rsidRDefault="008117D4" w:rsidP="008117D4">
      <w:pPr>
        <w:pStyle w:val="SubsectionHead"/>
      </w:pPr>
      <w:r w:rsidRPr="00D525A4">
        <w:t>Cheques</w:t>
      </w:r>
    </w:p>
    <w:p w14:paraId="3CC43D65" w14:textId="446D2996" w:rsidR="008117D4" w:rsidRPr="00D525A4" w:rsidRDefault="008117D4" w:rsidP="008117D4">
      <w:pPr>
        <w:pStyle w:val="subsection"/>
      </w:pPr>
      <w:r w:rsidRPr="00D525A4">
        <w:tab/>
        <w:t>(4)</w:t>
      </w:r>
      <w:r w:rsidRPr="00D525A4">
        <w:tab/>
      </w:r>
      <w:r w:rsidR="0010391B" w:rsidRPr="00D525A4">
        <w:t>Part 5</w:t>
      </w:r>
      <w:r w:rsidRPr="00D525A4">
        <w:t xml:space="preserve"> of the Act does not apply to a transfer of value if:</w:t>
      </w:r>
    </w:p>
    <w:p w14:paraId="4F741FC3" w14:textId="77777777" w:rsidR="008117D4" w:rsidRPr="00D525A4" w:rsidRDefault="008117D4" w:rsidP="008117D4">
      <w:pPr>
        <w:pStyle w:val="paragraph"/>
      </w:pPr>
      <w:r w:rsidRPr="00D525A4">
        <w:tab/>
        <w:t>(a)</w:t>
      </w:r>
      <w:r w:rsidRPr="00D525A4">
        <w:tab/>
        <w:t>the instruction for the transfer of value is given to the ordering institution by way of a cheque; and</w:t>
      </w:r>
    </w:p>
    <w:p w14:paraId="34F34E0A" w14:textId="77777777" w:rsidR="008117D4" w:rsidRPr="00D525A4" w:rsidRDefault="008117D4" w:rsidP="008117D4">
      <w:pPr>
        <w:pStyle w:val="paragraph"/>
      </w:pPr>
      <w:r w:rsidRPr="00D525A4">
        <w:tab/>
        <w:t>(b)</w:t>
      </w:r>
      <w:r w:rsidRPr="00D525A4">
        <w:tab/>
        <w:t>the cheque is drawn on the ordering institution.</w:t>
      </w:r>
    </w:p>
    <w:p w14:paraId="75059312" w14:textId="4462EC0B" w:rsidR="008117D4" w:rsidRPr="00D525A4" w:rsidRDefault="008117D4" w:rsidP="008117D4">
      <w:pPr>
        <w:pStyle w:val="SubsectionHead"/>
      </w:pPr>
      <w:r w:rsidRPr="00D525A4">
        <w:t>Card</w:t>
      </w:r>
      <w:r w:rsidR="00D525A4">
        <w:noBreakHyphen/>
      </w:r>
      <w:r w:rsidRPr="00D525A4">
        <w:t>based pull payments</w:t>
      </w:r>
    </w:p>
    <w:p w14:paraId="71E817A4" w14:textId="77777777" w:rsidR="008117D4" w:rsidRPr="00D525A4" w:rsidRDefault="008117D4" w:rsidP="008117D4">
      <w:pPr>
        <w:pStyle w:val="subsection"/>
      </w:pPr>
      <w:r w:rsidRPr="00D525A4">
        <w:tab/>
        <w:t>(5)</w:t>
      </w:r>
      <w:r w:rsidRPr="00D525A4">
        <w:tab/>
        <w:t>Paragraphs 64(2)(a) and (b) and (5)(a) of the Act do not apply to a transfer of value if the transfer of value is:</w:t>
      </w:r>
    </w:p>
    <w:p w14:paraId="6FDFE364" w14:textId="619D3028" w:rsidR="008117D4" w:rsidRPr="00D525A4" w:rsidRDefault="008117D4" w:rsidP="007F699C">
      <w:pPr>
        <w:pStyle w:val="paragraph"/>
      </w:pPr>
      <w:r w:rsidRPr="00D525A4">
        <w:tab/>
        <w:t>(</w:t>
      </w:r>
      <w:r w:rsidR="00F73CE2" w:rsidRPr="00D525A4">
        <w:t>a</w:t>
      </w:r>
      <w:r w:rsidRPr="00D525A4">
        <w:t>)</w:t>
      </w:r>
      <w:r w:rsidRPr="00D525A4">
        <w:tab/>
        <w:t>a card</w:t>
      </w:r>
      <w:r w:rsidR="00D525A4">
        <w:noBreakHyphen/>
      </w:r>
      <w:r w:rsidRPr="00D525A4">
        <w:t>based pull payment; or</w:t>
      </w:r>
    </w:p>
    <w:p w14:paraId="7B23540F" w14:textId="41DD8825" w:rsidR="008117D4" w:rsidRPr="00D525A4" w:rsidRDefault="008117D4" w:rsidP="007F699C">
      <w:pPr>
        <w:pStyle w:val="paragraph"/>
      </w:pPr>
      <w:r w:rsidRPr="00D525A4">
        <w:tab/>
        <w:t>(</w:t>
      </w:r>
      <w:r w:rsidR="00F73CE2" w:rsidRPr="00D525A4">
        <w:t>b</w:t>
      </w:r>
      <w:r w:rsidRPr="00D525A4">
        <w:t>)</w:t>
      </w:r>
      <w:r w:rsidRPr="00D525A4">
        <w:tab/>
        <w:t>a refund of a card</w:t>
      </w:r>
      <w:r w:rsidR="00D525A4">
        <w:noBreakHyphen/>
      </w:r>
      <w:r w:rsidRPr="00D525A4">
        <w:t>based pull payment.</w:t>
      </w:r>
    </w:p>
    <w:p w14:paraId="155CB079" w14:textId="66A665A3" w:rsidR="008117D4" w:rsidRPr="00D525A4" w:rsidRDefault="008117D4" w:rsidP="008117D4">
      <w:pPr>
        <w:pStyle w:val="SubsectionHead"/>
      </w:pPr>
      <w:r w:rsidRPr="00D525A4">
        <w:t>Transfers to a self</w:t>
      </w:r>
      <w:r w:rsidR="00D525A4">
        <w:noBreakHyphen/>
      </w:r>
      <w:r w:rsidRPr="00D525A4">
        <w:t>hosted virtual asset wallet</w:t>
      </w:r>
    </w:p>
    <w:p w14:paraId="1FEAD086" w14:textId="51D4C3A5" w:rsidR="008117D4" w:rsidRPr="00D525A4" w:rsidRDefault="008117D4" w:rsidP="008117D4">
      <w:pPr>
        <w:pStyle w:val="subsection"/>
        <w:rPr>
          <w:i/>
        </w:rPr>
      </w:pPr>
      <w:r w:rsidRPr="00D525A4">
        <w:tab/>
        <w:t>(6)</w:t>
      </w:r>
      <w:r w:rsidRPr="00D525A4">
        <w:tab/>
      </w:r>
      <w:r w:rsidR="00FE1FDA" w:rsidRPr="00D525A4">
        <w:t>Sub</w:t>
      </w:r>
      <w:r w:rsidR="0010391B" w:rsidRPr="00D525A4">
        <w:t>section 6</w:t>
      </w:r>
      <w:r w:rsidRPr="00D525A4">
        <w:t xml:space="preserve">4(3) of the Act and </w:t>
      </w:r>
      <w:r w:rsidR="00FE1FDA" w:rsidRPr="00D525A4">
        <w:t>paragraph 6</w:t>
      </w:r>
      <w:r w:rsidRPr="00D525A4">
        <w:t>4(5)(b) of the Act do not apply to a transfer of value if the value is being transferred to a self</w:t>
      </w:r>
      <w:r w:rsidR="00D525A4">
        <w:noBreakHyphen/>
      </w:r>
      <w:r w:rsidRPr="00D525A4">
        <w:t>hosted virtual asset wallet.</w:t>
      </w:r>
    </w:p>
    <w:p w14:paraId="0E4E71DC" w14:textId="0BF6616C" w:rsidR="008117D4" w:rsidRPr="00D525A4" w:rsidRDefault="0013261E" w:rsidP="008117D4">
      <w:pPr>
        <w:pStyle w:val="ActHead3"/>
        <w:pageBreakBefore/>
      </w:pPr>
      <w:bookmarkStart w:id="159" w:name="_Toc198225043"/>
      <w:r w:rsidRPr="00D525A4">
        <w:rPr>
          <w:rStyle w:val="CharDivNo"/>
        </w:rPr>
        <w:lastRenderedPageBreak/>
        <w:t>Division 4</w:t>
      </w:r>
      <w:r w:rsidR="008117D4" w:rsidRPr="00D525A4">
        <w:t>—</w:t>
      </w:r>
      <w:r w:rsidR="008117D4" w:rsidRPr="00D525A4">
        <w:rPr>
          <w:rStyle w:val="CharDivText"/>
        </w:rPr>
        <w:t>International value transfer services</w:t>
      </w:r>
      <w:bookmarkEnd w:id="159"/>
    </w:p>
    <w:p w14:paraId="7272BBD7" w14:textId="0C4BBF99" w:rsidR="008117D4" w:rsidRPr="00D525A4" w:rsidRDefault="00EC097E" w:rsidP="008117D4">
      <w:pPr>
        <w:pStyle w:val="ActHead5"/>
      </w:pPr>
      <w:bookmarkStart w:id="160" w:name="_Toc198225044"/>
      <w:r w:rsidRPr="00D525A4">
        <w:rPr>
          <w:rStyle w:val="CharSectno"/>
        </w:rPr>
        <w:t>7</w:t>
      </w:r>
      <w:r w:rsidR="00D525A4">
        <w:rPr>
          <w:rStyle w:val="CharSectno"/>
        </w:rPr>
        <w:noBreakHyphen/>
      </w:r>
      <w:r w:rsidRPr="00D525A4">
        <w:rPr>
          <w:rStyle w:val="CharSectno"/>
        </w:rPr>
        <w:t>7</w:t>
      </w:r>
      <w:r w:rsidR="008117D4" w:rsidRPr="00D525A4">
        <w:t xml:space="preserve">  When value is in a country</w:t>
      </w:r>
      <w:bookmarkEnd w:id="160"/>
    </w:p>
    <w:p w14:paraId="369D2CC7" w14:textId="2DF4D20E" w:rsidR="008117D4" w:rsidRPr="00D525A4" w:rsidRDefault="008117D4" w:rsidP="008117D4">
      <w:pPr>
        <w:pStyle w:val="subsection"/>
      </w:pPr>
      <w:r w:rsidRPr="00D525A4">
        <w:tab/>
      </w:r>
      <w:r w:rsidR="00795A22" w:rsidRPr="00D525A4">
        <w:tab/>
        <w:t>F</w:t>
      </w:r>
      <w:r w:rsidRPr="00D525A4">
        <w:t xml:space="preserve">or the purposes of </w:t>
      </w:r>
      <w:r w:rsidR="005C5E95" w:rsidRPr="00D525A4">
        <w:t>subsection 4</w:t>
      </w:r>
      <w:r w:rsidRPr="00D525A4">
        <w:t>5(2) of the Act</w:t>
      </w:r>
      <w:r w:rsidR="00795A22" w:rsidRPr="00D525A4">
        <w:t>, e</w:t>
      </w:r>
      <w:r w:rsidRPr="00D525A4">
        <w:t xml:space="preserve">ach of the following is a circumstance in which value, in relation to a transfer of value, is </w:t>
      </w:r>
      <w:r w:rsidRPr="00D525A4">
        <w:rPr>
          <w:b/>
          <w:i/>
        </w:rPr>
        <w:t>in</w:t>
      </w:r>
      <w:r w:rsidRPr="00D525A4">
        <w:t xml:space="preserve"> a country:</w:t>
      </w:r>
    </w:p>
    <w:p w14:paraId="46CBA9EE" w14:textId="77777777" w:rsidR="008117D4" w:rsidRPr="00D525A4" w:rsidRDefault="008117D4" w:rsidP="008117D4">
      <w:pPr>
        <w:pStyle w:val="paragraph"/>
      </w:pPr>
      <w:r w:rsidRPr="00D525A4">
        <w:tab/>
        <w:t>(a)</w:t>
      </w:r>
      <w:r w:rsidRPr="00D525A4">
        <w:tab/>
        <w:t>the payer provides the value to the ordering institution at or through a permanent establishment of the ordering institution in the country;</w:t>
      </w:r>
    </w:p>
    <w:p w14:paraId="0E42EEEC" w14:textId="77777777" w:rsidR="008117D4" w:rsidRPr="00D525A4" w:rsidRDefault="008117D4" w:rsidP="008117D4">
      <w:pPr>
        <w:pStyle w:val="paragraph"/>
      </w:pPr>
      <w:r w:rsidRPr="00D525A4">
        <w:tab/>
        <w:t>(b)</w:t>
      </w:r>
      <w:r w:rsidRPr="00D525A4">
        <w:tab/>
        <w:t>the ordering institution holds the value to be transferred in an account provided to the payer or otherwise on deposit for the payer (including in a virtual asset wallet) at or through a permanent establishment of the ordering institution in the country;</w:t>
      </w:r>
    </w:p>
    <w:p w14:paraId="38D496F2" w14:textId="77777777" w:rsidR="008117D4" w:rsidRPr="00D525A4" w:rsidRDefault="008117D4" w:rsidP="008117D4">
      <w:pPr>
        <w:pStyle w:val="paragraph"/>
      </w:pPr>
      <w:r w:rsidRPr="00D525A4">
        <w:tab/>
        <w:t>(c)</w:t>
      </w:r>
      <w:r w:rsidRPr="00D525A4">
        <w:tab/>
        <w:t>the ordering institution is authorised under an arrangement with the payer to transfer the value from another person at or through a permanent establishment of the other person in the country;</w:t>
      </w:r>
    </w:p>
    <w:p w14:paraId="4EAF9921" w14:textId="77777777" w:rsidR="008117D4" w:rsidRPr="00D525A4" w:rsidRDefault="008117D4" w:rsidP="008117D4">
      <w:pPr>
        <w:pStyle w:val="paragraph"/>
      </w:pPr>
      <w:r w:rsidRPr="00D525A4">
        <w:tab/>
        <w:t>(d)</w:t>
      </w:r>
      <w:r w:rsidRPr="00D525A4">
        <w:tab/>
        <w:t>the ordering institution or beneficiary institution initiates an offsetting arrangement that includes transferring the value within the country;</w:t>
      </w:r>
    </w:p>
    <w:p w14:paraId="41927150" w14:textId="77777777" w:rsidR="008117D4" w:rsidRPr="00D525A4" w:rsidRDefault="008117D4" w:rsidP="008117D4">
      <w:pPr>
        <w:pStyle w:val="paragraph"/>
      </w:pPr>
      <w:r w:rsidRPr="00D525A4">
        <w:tab/>
        <w:t>(e)</w:t>
      </w:r>
      <w:r w:rsidRPr="00D525A4">
        <w:tab/>
        <w:t>the beneficiary institution makes the value available to the payee:</w:t>
      </w:r>
    </w:p>
    <w:p w14:paraId="2A11DA3D" w14:textId="77777777" w:rsidR="008117D4" w:rsidRPr="00D525A4" w:rsidRDefault="008117D4" w:rsidP="008117D4">
      <w:pPr>
        <w:pStyle w:val="paragraphsub"/>
      </w:pPr>
      <w:r w:rsidRPr="00D525A4">
        <w:tab/>
        <w:t>(i)</w:t>
      </w:r>
      <w:r w:rsidRPr="00D525A4">
        <w:tab/>
        <w:t>at or through a permanent establishment of the beneficiary institution in the country; or</w:t>
      </w:r>
    </w:p>
    <w:p w14:paraId="09EE1747" w14:textId="77777777" w:rsidR="008117D4" w:rsidRPr="00D525A4" w:rsidRDefault="008117D4" w:rsidP="008117D4">
      <w:pPr>
        <w:pStyle w:val="paragraphsub"/>
      </w:pPr>
      <w:r w:rsidRPr="00D525A4">
        <w:tab/>
        <w:t>(ii)</w:t>
      </w:r>
      <w:r w:rsidRPr="00D525A4">
        <w:tab/>
        <w:t>by depositing the value with a person at or through a permanent establishment of the person in the country; or</w:t>
      </w:r>
    </w:p>
    <w:p w14:paraId="0DFFAC5A" w14:textId="77777777" w:rsidR="00A52097" w:rsidRPr="00D525A4" w:rsidRDefault="008117D4" w:rsidP="008117D4">
      <w:pPr>
        <w:pStyle w:val="paragraphsub"/>
      </w:pPr>
      <w:r w:rsidRPr="00D525A4">
        <w:tab/>
        <w:t>(iii)</w:t>
      </w:r>
      <w:r w:rsidRPr="00D525A4">
        <w:tab/>
        <w:t>by depositing the value into an account held by the payee with the beneficiary institution or otherwise holding the value on deposit for the payee (including in a virtual asset wallet) at or through a permanent establishment of the beneficiary institution in the country.</w:t>
      </w:r>
    </w:p>
    <w:p w14:paraId="2483BCF5" w14:textId="48A11E5D" w:rsidR="00D86399" w:rsidRPr="00D525A4" w:rsidRDefault="0010391B" w:rsidP="00D86399">
      <w:pPr>
        <w:pStyle w:val="ActHead2"/>
        <w:pageBreakBefore/>
      </w:pPr>
      <w:bookmarkStart w:id="161" w:name="_Toc198225045"/>
      <w:r w:rsidRPr="00D525A4">
        <w:rPr>
          <w:rStyle w:val="CharPartNo"/>
        </w:rPr>
        <w:lastRenderedPageBreak/>
        <w:t>Part 8</w:t>
      </w:r>
      <w:r w:rsidR="00D86399" w:rsidRPr="00D525A4">
        <w:t>—</w:t>
      </w:r>
      <w:r w:rsidR="00D86399" w:rsidRPr="00D525A4">
        <w:rPr>
          <w:rStyle w:val="CharPartText"/>
        </w:rPr>
        <w:t>Reporting</w:t>
      </w:r>
      <w:bookmarkEnd w:id="161"/>
    </w:p>
    <w:p w14:paraId="7A7468CB" w14:textId="51EFB156" w:rsidR="009B152C" w:rsidRPr="00D525A4" w:rsidRDefault="00270E8B" w:rsidP="00D07296">
      <w:pPr>
        <w:pStyle w:val="ActHead3"/>
      </w:pPr>
      <w:bookmarkStart w:id="162" w:name="_Toc198225046"/>
      <w:r w:rsidRPr="00D525A4">
        <w:rPr>
          <w:rStyle w:val="CharDivNo"/>
        </w:rPr>
        <w:t>Division 1</w:t>
      </w:r>
      <w:r w:rsidR="009B152C" w:rsidRPr="00D525A4">
        <w:t>—</w:t>
      </w:r>
      <w:r w:rsidR="00056E8A" w:rsidRPr="00D525A4">
        <w:rPr>
          <w:rStyle w:val="CharDivText"/>
        </w:rPr>
        <w:t>Reports of suspicious matters</w:t>
      </w:r>
      <w:bookmarkEnd w:id="162"/>
    </w:p>
    <w:p w14:paraId="33B838A5" w14:textId="6D9AE68B" w:rsidR="00F641E5" w:rsidRPr="00D525A4" w:rsidRDefault="00EC097E" w:rsidP="00F641E5">
      <w:pPr>
        <w:pStyle w:val="ActHead5"/>
      </w:pPr>
      <w:bookmarkStart w:id="163" w:name="_Toc198225047"/>
      <w:r w:rsidRPr="00D525A4">
        <w:rPr>
          <w:rStyle w:val="CharSectno"/>
        </w:rPr>
        <w:t>8</w:t>
      </w:r>
      <w:r w:rsidR="00D525A4">
        <w:rPr>
          <w:rStyle w:val="CharSectno"/>
        </w:rPr>
        <w:noBreakHyphen/>
      </w:r>
      <w:r w:rsidRPr="00D525A4">
        <w:rPr>
          <w:rStyle w:val="CharSectno"/>
        </w:rPr>
        <w:t>1</w:t>
      </w:r>
      <w:r w:rsidR="00F641E5" w:rsidRPr="00D525A4">
        <w:t xml:space="preserve">  Purpose of this Division</w:t>
      </w:r>
      <w:bookmarkEnd w:id="163"/>
    </w:p>
    <w:p w14:paraId="25D0051D" w14:textId="18BD8DDC" w:rsidR="00F641E5" w:rsidRPr="00D525A4" w:rsidRDefault="00F641E5" w:rsidP="00F641E5">
      <w:pPr>
        <w:pStyle w:val="subsection"/>
      </w:pPr>
      <w:r w:rsidRPr="00D525A4">
        <w:tab/>
      </w:r>
      <w:r w:rsidRPr="00D525A4">
        <w:tab/>
      </w:r>
      <w:r w:rsidR="007267BF" w:rsidRPr="00D525A4">
        <w:t>For the purposes of</w:t>
      </w:r>
      <w:r w:rsidRPr="00D525A4">
        <w:t xml:space="preserve"> </w:t>
      </w:r>
      <w:r w:rsidR="005C5E95" w:rsidRPr="00D525A4">
        <w:t>paragraph 4</w:t>
      </w:r>
      <w:r w:rsidRPr="00D525A4">
        <w:t>1(3)(b) of the Act</w:t>
      </w:r>
      <w:r w:rsidR="007267BF" w:rsidRPr="00D525A4">
        <w:t xml:space="preserve">, this Division sets out the information that must be contained in a report under </w:t>
      </w:r>
      <w:r w:rsidR="005C5E95" w:rsidRPr="00D525A4">
        <w:t>subsection 4</w:t>
      </w:r>
      <w:r w:rsidR="00151044" w:rsidRPr="00D525A4">
        <w:t>1(2) of the Act</w:t>
      </w:r>
      <w:r w:rsidR="00D9078F" w:rsidRPr="00D525A4">
        <w:t xml:space="preserve"> </w:t>
      </w:r>
      <w:r w:rsidR="005846B3" w:rsidRPr="00D525A4">
        <w:t>in relation to</w:t>
      </w:r>
      <w:r w:rsidR="00151044" w:rsidRPr="00D525A4">
        <w:t xml:space="preserve"> a suspicious matter reporting obligation </w:t>
      </w:r>
      <w:r w:rsidR="001E77C8" w:rsidRPr="00D525A4">
        <w:t xml:space="preserve">that </w:t>
      </w:r>
      <w:r w:rsidR="00151044" w:rsidRPr="00D525A4">
        <w:t>has arisen for a reporting entity in relation to a person</w:t>
      </w:r>
      <w:r w:rsidRPr="00D525A4">
        <w:t>.</w:t>
      </w:r>
    </w:p>
    <w:p w14:paraId="7F192BD3" w14:textId="66FF1FD1" w:rsidR="0035008E" w:rsidRPr="00D525A4" w:rsidRDefault="00EC097E" w:rsidP="0035008E">
      <w:pPr>
        <w:pStyle w:val="ActHead5"/>
      </w:pPr>
      <w:bookmarkStart w:id="164" w:name="_Toc198225048"/>
      <w:r w:rsidRPr="00D525A4">
        <w:rPr>
          <w:rStyle w:val="CharSectno"/>
        </w:rPr>
        <w:t>8</w:t>
      </w:r>
      <w:r w:rsidR="00D525A4">
        <w:rPr>
          <w:rStyle w:val="CharSectno"/>
        </w:rPr>
        <w:noBreakHyphen/>
      </w:r>
      <w:r w:rsidRPr="00D525A4">
        <w:rPr>
          <w:rStyle w:val="CharSectno"/>
        </w:rPr>
        <w:t>2</w:t>
      </w:r>
      <w:r w:rsidR="00F641E5" w:rsidRPr="00D525A4">
        <w:t xml:space="preserve">  </w:t>
      </w:r>
      <w:r w:rsidR="00C41D40" w:rsidRPr="00D525A4">
        <w:t>Reports of suspicious matters</w:t>
      </w:r>
      <w:r w:rsidR="00082665" w:rsidRPr="00D525A4">
        <w:t>—general information</w:t>
      </w:r>
      <w:bookmarkEnd w:id="164"/>
    </w:p>
    <w:p w14:paraId="5723C3D2" w14:textId="067F03D1" w:rsidR="00F641E5" w:rsidRPr="00D525A4" w:rsidRDefault="0035008E" w:rsidP="0035008E">
      <w:pPr>
        <w:pStyle w:val="subsection"/>
      </w:pPr>
      <w:r w:rsidRPr="00D525A4">
        <w:tab/>
        <w:t>(1)</w:t>
      </w:r>
      <w:r w:rsidRPr="00D525A4">
        <w:tab/>
      </w:r>
      <w:r w:rsidR="00151044" w:rsidRPr="00D525A4">
        <w:t>The</w:t>
      </w:r>
      <w:r w:rsidR="00F641E5" w:rsidRPr="00D525A4">
        <w:t xml:space="preserve"> </w:t>
      </w:r>
      <w:r w:rsidR="00F262F1" w:rsidRPr="00D525A4">
        <w:t xml:space="preserve">report </w:t>
      </w:r>
      <w:r w:rsidR="00F641E5" w:rsidRPr="00D525A4">
        <w:t xml:space="preserve">must contain </w:t>
      </w:r>
      <w:r w:rsidR="002C6C87" w:rsidRPr="00D525A4">
        <w:t xml:space="preserve">the </w:t>
      </w:r>
      <w:r w:rsidR="00151044" w:rsidRPr="00D525A4">
        <w:t>following information:</w:t>
      </w:r>
    </w:p>
    <w:p w14:paraId="7474D0A7" w14:textId="596AE17B" w:rsidR="00520F4E" w:rsidRPr="00D525A4" w:rsidRDefault="00124ACF" w:rsidP="00520F4E">
      <w:pPr>
        <w:pStyle w:val="paragraph"/>
      </w:pPr>
      <w:r w:rsidRPr="00D525A4">
        <w:tab/>
        <w:t>(a)</w:t>
      </w:r>
      <w:r w:rsidRPr="00D525A4">
        <w:tab/>
        <w:t xml:space="preserve">the reporting entity’s </w:t>
      </w:r>
      <w:r w:rsidR="000002BC" w:rsidRPr="00D525A4">
        <w:t xml:space="preserve">full </w:t>
      </w:r>
      <w:r w:rsidRPr="00D525A4">
        <w:t>name</w:t>
      </w:r>
      <w:r w:rsidR="00AE580C" w:rsidRPr="00D525A4">
        <w:t xml:space="preserve"> and </w:t>
      </w:r>
      <w:r w:rsidR="00A610FC" w:rsidRPr="00D525A4">
        <w:t xml:space="preserve">the identifier </w:t>
      </w:r>
      <w:r w:rsidR="0031459B" w:rsidRPr="00D525A4">
        <w:t>assigned</w:t>
      </w:r>
      <w:r w:rsidR="00A610FC" w:rsidRPr="00D525A4">
        <w:t xml:space="preserve"> to the entity by AUSTRAC</w:t>
      </w:r>
      <w:r w:rsidRPr="00D525A4">
        <w:t>;</w:t>
      </w:r>
    </w:p>
    <w:p w14:paraId="0BA16E33" w14:textId="32750F72" w:rsidR="00F641E5" w:rsidRPr="00D525A4" w:rsidRDefault="00F641E5" w:rsidP="00164CDC">
      <w:pPr>
        <w:pStyle w:val="paragraph"/>
      </w:pPr>
      <w:r w:rsidRPr="00D525A4">
        <w:tab/>
        <w:t>(</w:t>
      </w:r>
      <w:r w:rsidR="00124ACF" w:rsidRPr="00D525A4">
        <w:t>b</w:t>
      </w:r>
      <w:r w:rsidRPr="00D525A4">
        <w:t>)</w:t>
      </w:r>
      <w:r w:rsidRPr="00D525A4">
        <w:tab/>
        <w:t>the date the report is given to the AUSTRAC CEO;</w:t>
      </w:r>
    </w:p>
    <w:p w14:paraId="22C268E1" w14:textId="0A48E7D1" w:rsidR="00F641E5" w:rsidRPr="00D525A4" w:rsidRDefault="00F641E5" w:rsidP="00F641E5">
      <w:pPr>
        <w:pStyle w:val="paragraph"/>
      </w:pPr>
      <w:r w:rsidRPr="00D525A4">
        <w:tab/>
        <w:t>(</w:t>
      </w:r>
      <w:r w:rsidR="00124ACF" w:rsidRPr="00D525A4">
        <w:t>c</w:t>
      </w:r>
      <w:r w:rsidRPr="00D525A4">
        <w:t>)</w:t>
      </w:r>
      <w:r w:rsidRPr="00D525A4">
        <w:tab/>
        <w:t>the date the suspicious matter reporting obligation arose for the reporting entity;</w:t>
      </w:r>
    </w:p>
    <w:p w14:paraId="353C0985" w14:textId="56186B29" w:rsidR="00C601E4" w:rsidRPr="00D525A4" w:rsidRDefault="00C601E4" w:rsidP="00F641E5">
      <w:pPr>
        <w:pStyle w:val="paragraph"/>
      </w:pPr>
      <w:r w:rsidRPr="00D525A4">
        <w:tab/>
        <w:t>(d)</w:t>
      </w:r>
      <w:r w:rsidRPr="00D525A4">
        <w:tab/>
        <w:t xml:space="preserve">whether </w:t>
      </w:r>
      <w:r w:rsidR="005C5E95" w:rsidRPr="00D525A4">
        <w:t>paragraph 4</w:t>
      </w:r>
      <w:r w:rsidRPr="00D525A4">
        <w:t>1(2)(aa)</w:t>
      </w:r>
      <w:r w:rsidR="00F42C72" w:rsidRPr="00D525A4">
        <w:t xml:space="preserve"> of the</w:t>
      </w:r>
      <w:r w:rsidRPr="00D525A4">
        <w:t xml:space="preserve"> Act </w:t>
      </w:r>
      <w:r w:rsidR="008F238C" w:rsidRPr="00D525A4">
        <w:t xml:space="preserve">(which deals with </w:t>
      </w:r>
      <w:r w:rsidR="00F42C72" w:rsidRPr="00D525A4">
        <w:t>the timeframe for giving a report in certain circumstances relating to legal professional privilege</w:t>
      </w:r>
      <w:r w:rsidR="008F238C" w:rsidRPr="00D525A4">
        <w:t xml:space="preserve">) </w:t>
      </w:r>
      <w:r w:rsidRPr="00D525A4">
        <w:t>appl</w:t>
      </w:r>
      <w:r w:rsidR="008F238C" w:rsidRPr="00D525A4">
        <w:t>ies</w:t>
      </w:r>
      <w:r w:rsidRPr="00D525A4">
        <w:t xml:space="preserve"> in relation to the report;</w:t>
      </w:r>
    </w:p>
    <w:p w14:paraId="12CBFF61" w14:textId="217A6A14" w:rsidR="00B31AB8" w:rsidRPr="00D525A4" w:rsidRDefault="00B31AB8" w:rsidP="00F641E5">
      <w:pPr>
        <w:pStyle w:val="paragraph"/>
      </w:pPr>
      <w:r w:rsidRPr="00D525A4">
        <w:tab/>
        <w:t>(</w:t>
      </w:r>
      <w:r w:rsidR="00C601E4" w:rsidRPr="00D525A4">
        <w:t>e</w:t>
      </w:r>
      <w:r w:rsidRPr="00D525A4">
        <w:t>)</w:t>
      </w:r>
      <w:r w:rsidRPr="00D525A4">
        <w:tab/>
        <w:t>the identif</w:t>
      </w:r>
      <w:r w:rsidR="00A610FC" w:rsidRPr="00D525A4">
        <w:t>ier</w:t>
      </w:r>
      <w:r w:rsidRPr="00D525A4">
        <w:t xml:space="preserve"> given by the reporting entity to the report (if any);</w:t>
      </w:r>
    </w:p>
    <w:p w14:paraId="4A2F15D7" w14:textId="5524182C" w:rsidR="00F641E5" w:rsidRPr="00D525A4" w:rsidRDefault="00891426" w:rsidP="00F641E5">
      <w:pPr>
        <w:pStyle w:val="paragraph"/>
      </w:pPr>
      <w:r w:rsidRPr="00D525A4">
        <w:tab/>
        <w:t>(</w:t>
      </w:r>
      <w:r w:rsidR="00C601E4" w:rsidRPr="00D525A4">
        <w:t>f</w:t>
      </w:r>
      <w:r w:rsidRPr="00D525A4">
        <w:t>)</w:t>
      </w:r>
      <w:r w:rsidRPr="00D525A4">
        <w:tab/>
      </w:r>
      <w:r w:rsidR="00C91BF9" w:rsidRPr="00D525A4">
        <w:t xml:space="preserve">if the </w:t>
      </w:r>
      <w:r w:rsidR="00913EFF" w:rsidRPr="00D525A4">
        <w:t xml:space="preserve">reporting entity </w:t>
      </w:r>
      <w:r w:rsidR="00C91BF9" w:rsidRPr="00D525A4">
        <w:t xml:space="preserve">considers that a report </w:t>
      </w:r>
      <w:r w:rsidR="007E7E02" w:rsidRPr="00D525A4">
        <w:t xml:space="preserve">it has </w:t>
      </w:r>
      <w:r w:rsidR="00C41C75" w:rsidRPr="00D525A4">
        <w:t xml:space="preserve">previously </w:t>
      </w:r>
      <w:r w:rsidR="007D0622" w:rsidRPr="00D525A4">
        <w:t xml:space="preserve">given </w:t>
      </w:r>
      <w:r w:rsidR="00C41C75" w:rsidRPr="00D525A4">
        <w:t>to the AUSTRAC CEO under</w:t>
      </w:r>
      <w:r w:rsidR="00C91BF9" w:rsidRPr="00D525A4">
        <w:t xml:space="preserve"> the Act</w:t>
      </w:r>
      <w:r w:rsidR="007F3132" w:rsidRPr="00D525A4">
        <w:t xml:space="preserve"> (the </w:t>
      </w:r>
      <w:r w:rsidR="007F3132" w:rsidRPr="00D525A4">
        <w:rPr>
          <w:b/>
          <w:bCs/>
          <w:i/>
          <w:iCs/>
        </w:rPr>
        <w:t>previous report</w:t>
      </w:r>
      <w:r w:rsidR="007F3132" w:rsidRPr="00D525A4">
        <w:t>)</w:t>
      </w:r>
      <w:r w:rsidR="00C91BF9" w:rsidRPr="00D525A4">
        <w:t xml:space="preserve"> </w:t>
      </w:r>
      <w:r w:rsidR="006C208F" w:rsidRPr="00D525A4">
        <w:t>is relevant to the matter</w:t>
      </w:r>
      <w:r w:rsidR="007E7E02" w:rsidRPr="00D525A4">
        <w:t xml:space="preserve">—the following information about the </w:t>
      </w:r>
      <w:r w:rsidR="003A74D0" w:rsidRPr="00D525A4">
        <w:t xml:space="preserve">previous </w:t>
      </w:r>
      <w:r w:rsidR="007E7E02" w:rsidRPr="00D525A4">
        <w:t>report</w:t>
      </w:r>
      <w:r w:rsidR="00F641E5" w:rsidRPr="00D525A4">
        <w:t>:</w:t>
      </w:r>
    </w:p>
    <w:p w14:paraId="0F25E47A" w14:textId="4D7E387B" w:rsidR="00F641E5" w:rsidRPr="00D525A4" w:rsidRDefault="00F641E5" w:rsidP="00F641E5">
      <w:pPr>
        <w:pStyle w:val="paragraphsub"/>
      </w:pPr>
      <w:r w:rsidRPr="00D525A4">
        <w:tab/>
        <w:t>(i)</w:t>
      </w:r>
      <w:r w:rsidRPr="00D525A4">
        <w:tab/>
        <w:t>the date th</w:t>
      </w:r>
      <w:r w:rsidR="00891426" w:rsidRPr="00D525A4">
        <w:t>e</w:t>
      </w:r>
      <w:r w:rsidRPr="00D525A4">
        <w:t xml:space="preserve"> </w:t>
      </w:r>
      <w:r w:rsidR="003A74D0" w:rsidRPr="00D525A4">
        <w:t xml:space="preserve">previous </w:t>
      </w:r>
      <w:r w:rsidRPr="00D525A4">
        <w:t>report was given to the AUSTRAC CEO;</w:t>
      </w:r>
    </w:p>
    <w:p w14:paraId="6D414497" w14:textId="20024F04" w:rsidR="00B31AB8" w:rsidRPr="00D525A4" w:rsidRDefault="00B31AB8" w:rsidP="00F641E5">
      <w:pPr>
        <w:pStyle w:val="paragraphsub"/>
      </w:pPr>
      <w:r w:rsidRPr="00D525A4">
        <w:tab/>
        <w:t>(ii)</w:t>
      </w:r>
      <w:r w:rsidRPr="00D525A4">
        <w:tab/>
        <w:t xml:space="preserve">the </w:t>
      </w:r>
      <w:r w:rsidR="003E291B" w:rsidRPr="00D525A4">
        <w:t>identifier</w:t>
      </w:r>
      <w:r w:rsidR="00A020D2" w:rsidRPr="00D525A4">
        <w:t xml:space="preserve"> given to the previous report by AUSTRAC</w:t>
      </w:r>
      <w:r w:rsidR="00DE2B3D" w:rsidRPr="00D525A4">
        <w:t xml:space="preserve"> (if any)</w:t>
      </w:r>
      <w:r w:rsidR="00A020D2" w:rsidRPr="00D525A4">
        <w:t>;</w:t>
      </w:r>
    </w:p>
    <w:p w14:paraId="1376BFF5" w14:textId="6E20DA19" w:rsidR="00B31F68" w:rsidRPr="00D525A4" w:rsidRDefault="00F641E5" w:rsidP="003E291B">
      <w:pPr>
        <w:pStyle w:val="paragraphsub"/>
      </w:pPr>
      <w:r w:rsidRPr="00D525A4">
        <w:tab/>
        <w:t>(ii</w:t>
      </w:r>
      <w:r w:rsidR="00B31AB8" w:rsidRPr="00D525A4">
        <w:t>i</w:t>
      </w:r>
      <w:r w:rsidRPr="00D525A4">
        <w:t>)</w:t>
      </w:r>
      <w:r w:rsidRPr="00D525A4">
        <w:tab/>
        <w:t xml:space="preserve">the </w:t>
      </w:r>
      <w:r w:rsidR="003E291B" w:rsidRPr="00D525A4">
        <w:t>identifier</w:t>
      </w:r>
      <w:r w:rsidRPr="00D525A4">
        <w:t xml:space="preserve"> given by the reporting entity to the </w:t>
      </w:r>
      <w:r w:rsidR="007F3132" w:rsidRPr="00D525A4">
        <w:t xml:space="preserve">previous </w:t>
      </w:r>
      <w:r w:rsidRPr="00D525A4">
        <w:t>report (if any)</w:t>
      </w:r>
      <w:r w:rsidR="00B31AB8" w:rsidRPr="00D525A4">
        <w:t>.</w:t>
      </w:r>
    </w:p>
    <w:p w14:paraId="78B19F38" w14:textId="260F3443" w:rsidR="0035008E" w:rsidRPr="00D525A4" w:rsidRDefault="0035008E" w:rsidP="0035008E">
      <w:pPr>
        <w:pStyle w:val="SubsectionHead"/>
      </w:pPr>
      <w:r w:rsidRPr="00D525A4">
        <w:t>Information about the</w:t>
      </w:r>
      <w:r w:rsidR="00BB3CDB" w:rsidRPr="00D525A4">
        <w:t xml:space="preserve"> individual</w:t>
      </w:r>
      <w:r w:rsidRPr="00D525A4">
        <w:t xml:space="preserve"> completing the report</w:t>
      </w:r>
    </w:p>
    <w:p w14:paraId="354782C0" w14:textId="559BDA0C" w:rsidR="00A020D2" w:rsidRPr="00D525A4" w:rsidRDefault="0035008E" w:rsidP="00A020D2">
      <w:pPr>
        <w:pStyle w:val="subsection"/>
      </w:pPr>
      <w:r w:rsidRPr="00D525A4">
        <w:tab/>
        <w:t>(</w:t>
      </w:r>
      <w:r w:rsidR="0036645C" w:rsidRPr="00D525A4">
        <w:t>2</w:t>
      </w:r>
      <w:r w:rsidRPr="00D525A4">
        <w:t>)</w:t>
      </w:r>
      <w:r w:rsidRPr="00D525A4">
        <w:tab/>
        <w:t xml:space="preserve">The report must </w:t>
      </w:r>
      <w:r w:rsidR="00A020D2" w:rsidRPr="00D525A4">
        <w:t>the following information about the individual completing the report:</w:t>
      </w:r>
    </w:p>
    <w:p w14:paraId="183721F1" w14:textId="1E447DDF" w:rsidR="00A020D2" w:rsidRPr="00D525A4" w:rsidRDefault="00A020D2" w:rsidP="00A020D2">
      <w:pPr>
        <w:pStyle w:val="paragraph"/>
      </w:pPr>
      <w:r w:rsidRPr="00D525A4">
        <w:tab/>
        <w:t>(a)</w:t>
      </w:r>
      <w:r w:rsidRPr="00D525A4">
        <w:tab/>
        <w:t>the individual’s</w:t>
      </w:r>
      <w:r w:rsidR="000002BC" w:rsidRPr="00D525A4">
        <w:t xml:space="preserve"> full</w:t>
      </w:r>
      <w:r w:rsidRPr="00D525A4">
        <w:t xml:space="preserve"> name;</w:t>
      </w:r>
    </w:p>
    <w:p w14:paraId="09685791" w14:textId="28F39D25" w:rsidR="003E291B" w:rsidRPr="00D525A4" w:rsidRDefault="003E291B" w:rsidP="00A020D2">
      <w:pPr>
        <w:pStyle w:val="paragraph"/>
      </w:pPr>
      <w:r w:rsidRPr="00D525A4">
        <w:tab/>
        <w:t>(b)</w:t>
      </w:r>
      <w:r w:rsidRPr="00D525A4">
        <w:tab/>
        <w:t>the individual’s position with the reporting entity;</w:t>
      </w:r>
    </w:p>
    <w:p w14:paraId="71564A3A" w14:textId="31E646F7" w:rsidR="00A020D2" w:rsidRPr="00D525A4" w:rsidRDefault="00A020D2" w:rsidP="00A020D2">
      <w:pPr>
        <w:pStyle w:val="paragraph"/>
      </w:pPr>
      <w:r w:rsidRPr="00D525A4">
        <w:tab/>
        <w:t>(</w:t>
      </w:r>
      <w:r w:rsidR="003E291B" w:rsidRPr="00D525A4">
        <w:t>c</w:t>
      </w:r>
      <w:r w:rsidRPr="00D525A4">
        <w:t>)</w:t>
      </w:r>
      <w:r w:rsidRPr="00D525A4">
        <w:tab/>
        <w:t>the individual’s contact details.</w:t>
      </w:r>
    </w:p>
    <w:p w14:paraId="580DAAE9" w14:textId="296FE7F1" w:rsidR="00A020D2" w:rsidRPr="00D525A4" w:rsidRDefault="00A020D2" w:rsidP="00A020D2">
      <w:pPr>
        <w:pStyle w:val="SubsectionHead"/>
      </w:pPr>
      <w:r w:rsidRPr="00D525A4">
        <w:t xml:space="preserve">Information about </w:t>
      </w:r>
      <w:r w:rsidR="00DE2B3D" w:rsidRPr="00D525A4">
        <w:t>an</w:t>
      </w:r>
      <w:r w:rsidRPr="00D525A4">
        <w:t xml:space="preserve"> individual with information about the formation of the suspicion</w:t>
      </w:r>
    </w:p>
    <w:p w14:paraId="51EA7863" w14:textId="5414A709" w:rsidR="00A020D2" w:rsidRPr="00D525A4" w:rsidRDefault="00A020D2" w:rsidP="00A020D2">
      <w:pPr>
        <w:pStyle w:val="subsection"/>
      </w:pPr>
      <w:r w:rsidRPr="00D525A4">
        <w:tab/>
        <w:t>(3)</w:t>
      </w:r>
      <w:r w:rsidRPr="00D525A4">
        <w:tab/>
        <w:t xml:space="preserve">The report must contain the following information about an individual </w:t>
      </w:r>
      <w:r w:rsidR="00D1477D" w:rsidRPr="00D525A4">
        <w:t>who can provide information about</w:t>
      </w:r>
      <w:r w:rsidRPr="00D525A4">
        <w:t xml:space="preserve"> the reporting entity forming the suspicion mentioned in any of paragraphs 41(1)(d) to (j) that apply to the matter:</w:t>
      </w:r>
    </w:p>
    <w:p w14:paraId="3732EF54" w14:textId="11CC41DB" w:rsidR="00A020D2" w:rsidRPr="00D525A4" w:rsidRDefault="00A020D2" w:rsidP="00A020D2">
      <w:pPr>
        <w:pStyle w:val="paragraph"/>
      </w:pPr>
      <w:r w:rsidRPr="00D525A4">
        <w:tab/>
        <w:t>(a)</w:t>
      </w:r>
      <w:r w:rsidRPr="00D525A4">
        <w:tab/>
        <w:t>the individual’s</w:t>
      </w:r>
      <w:r w:rsidR="000002BC" w:rsidRPr="00D525A4">
        <w:t xml:space="preserve"> full</w:t>
      </w:r>
      <w:r w:rsidRPr="00D525A4">
        <w:t xml:space="preserve"> name;</w:t>
      </w:r>
    </w:p>
    <w:p w14:paraId="4A3F8FDC" w14:textId="796CC932" w:rsidR="003E291B" w:rsidRPr="00D525A4" w:rsidRDefault="00A020D2" w:rsidP="003E291B">
      <w:pPr>
        <w:pStyle w:val="paragraph"/>
      </w:pPr>
      <w:r w:rsidRPr="00D525A4">
        <w:tab/>
        <w:t>(b)</w:t>
      </w:r>
      <w:r w:rsidRPr="00D525A4">
        <w:tab/>
      </w:r>
      <w:r w:rsidR="003E291B" w:rsidRPr="00D525A4">
        <w:t>the individual’s position with the reporting entity;</w:t>
      </w:r>
    </w:p>
    <w:p w14:paraId="4F186EBC" w14:textId="037EDA58" w:rsidR="0084447D" w:rsidRPr="00D525A4" w:rsidRDefault="003E291B" w:rsidP="003E291B">
      <w:pPr>
        <w:pStyle w:val="paragraph"/>
      </w:pPr>
      <w:r w:rsidRPr="00D525A4">
        <w:tab/>
        <w:t>(c)</w:t>
      </w:r>
      <w:r w:rsidRPr="00D525A4">
        <w:tab/>
        <w:t>the individual’s contact details</w:t>
      </w:r>
      <w:r w:rsidR="00A020D2" w:rsidRPr="00D525A4">
        <w:t>.</w:t>
      </w:r>
    </w:p>
    <w:p w14:paraId="449D11D0" w14:textId="635D3BF5" w:rsidR="0035008E" w:rsidRPr="00D525A4" w:rsidRDefault="0035008E" w:rsidP="0035008E">
      <w:pPr>
        <w:pStyle w:val="SubsectionHead"/>
      </w:pPr>
      <w:r w:rsidRPr="00D525A4">
        <w:lastRenderedPageBreak/>
        <w:t>Information about report to Commonwealth, State or Territory agencies</w:t>
      </w:r>
    </w:p>
    <w:p w14:paraId="2F8C810A" w14:textId="60655EE6" w:rsidR="00EF0271" w:rsidRPr="00D525A4" w:rsidRDefault="00EF0271" w:rsidP="0035008E">
      <w:pPr>
        <w:pStyle w:val="subsection"/>
      </w:pPr>
      <w:r w:rsidRPr="00D525A4">
        <w:tab/>
      </w:r>
      <w:r w:rsidR="002C6C87" w:rsidRPr="00D525A4">
        <w:t>(</w:t>
      </w:r>
      <w:r w:rsidR="0035008E" w:rsidRPr="00D525A4">
        <w:t>4</w:t>
      </w:r>
      <w:r w:rsidR="002C6C87" w:rsidRPr="00D525A4">
        <w:t>)</w:t>
      </w:r>
      <w:r w:rsidRPr="00D525A4">
        <w:tab/>
      </w:r>
      <w:r w:rsidR="0035008E" w:rsidRPr="00D525A4">
        <w:t>I</w:t>
      </w:r>
      <w:r w:rsidRPr="00D525A4">
        <w:t>f the matter has been reported to a Commonwealth, State or Territory agency</w:t>
      </w:r>
      <w:r w:rsidR="0035008E" w:rsidRPr="00D525A4">
        <w:t xml:space="preserve">, the report must include </w:t>
      </w:r>
      <w:r w:rsidR="002C6C87" w:rsidRPr="00D525A4">
        <w:t xml:space="preserve">the </w:t>
      </w:r>
      <w:r w:rsidRPr="00D525A4">
        <w:t>following information:</w:t>
      </w:r>
    </w:p>
    <w:p w14:paraId="4880AC11" w14:textId="09481663" w:rsidR="00135F62" w:rsidRPr="00D525A4" w:rsidRDefault="00EF0271" w:rsidP="0036645C">
      <w:pPr>
        <w:pStyle w:val="paragraph"/>
      </w:pPr>
      <w:r w:rsidRPr="00D525A4">
        <w:tab/>
        <w:t>(</w:t>
      </w:r>
      <w:r w:rsidR="0036645C" w:rsidRPr="00D525A4">
        <w:t>a</w:t>
      </w:r>
      <w:r w:rsidRPr="00D525A4">
        <w:t>)</w:t>
      </w:r>
      <w:r w:rsidRPr="00D525A4">
        <w:tab/>
        <w:t>the name of the agency;</w:t>
      </w:r>
    </w:p>
    <w:p w14:paraId="2064AF30" w14:textId="381683CC" w:rsidR="00A44019" w:rsidRPr="00D525A4" w:rsidRDefault="00A70103" w:rsidP="0036645C">
      <w:pPr>
        <w:pStyle w:val="paragraph"/>
      </w:pPr>
      <w:r w:rsidRPr="00D525A4">
        <w:tab/>
        <w:t>(</w:t>
      </w:r>
      <w:r w:rsidR="0036645C" w:rsidRPr="00D525A4">
        <w:t>b</w:t>
      </w:r>
      <w:r w:rsidRPr="00D525A4">
        <w:t>)</w:t>
      </w:r>
      <w:r w:rsidRPr="00D525A4">
        <w:tab/>
      </w:r>
      <w:r w:rsidR="006427DA" w:rsidRPr="00D525A4">
        <w:t>the part of, or unit in, the agency the matter was reported to (to the extent that the information is known);</w:t>
      </w:r>
    </w:p>
    <w:p w14:paraId="0A003B36" w14:textId="499EDD8F" w:rsidR="00135F62" w:rsidRPr="00D525A4" w:rsidRDefault="00135F62" w:rsidP="0036645C">
      <w:pPr>
        <w:pStyle w:val="paragraph"/>
      </w:pPr>
      <w:r w:rsidRPr="00D525A4">
        <w:tab/>
        <w:t>(</w:t>
      </w:r>
      <w:r w:rsidR="0036645C" w:rsidRPr="00D525A4">
        <w:t>c</w:t>
      </w:r>
      <w:r w:rsidRPr="00D525A4">
        <w:t>)</w:t>
      </w:r>
      <w:r w:rsidRPr="00D525A4">
        <w:tab/>
        <w:t xml:space="preserve">the </w:t>
      </w:r>
      <w:r w:rsidR="003E291B" w:rsidRPr="00D525A4">
        <w:t>identifier</w:t>
      </w:r>
      <w:r w:rsidR="00EF0271" w:rsidRPr="00D525A4">
        <w:t xml:space="preserve"> </w:t>
      </w:r>
      <w:r w:rsidR="00BF13FD" w:rsidRPr="00D525A4">
        <w:t>given</w:t>
      </w:r>
      <w:r w:rsidR="00EF0271" w:rsidRPr="00D525A4">
        <w:t xml:space="preserve"> </w:t>
      </w:r>
      <w:r w:rsidR="006427DA" w:rsidRPr="00D525A4">
        <w:t xml:space="preserve">to the matter </w:t>
      </w:r>
      <w:r w:rsidR="000D3C6A" w:rsidRPr="00D525A4">
        <w:t>by the agency</w:t>
      </w:r>
      <w:r w:rsidR="00EF0271" w:rsidRPr="00D525A4">
        <w:t xml:space="preserve"> (if any)</w:t>
      </w:r>
      <w:r w:rsidRPr="00D525A4">
        <w:t>;</w:t>
      </w:r>
    </w:p>
    <w:p w14:paraId="3849E41E" w14:textId="45CF76DD" w:rsidR="00135F62" w:rsidRPr="00D525A4" w:rsidRDefault="00135F62" w:rsidP="0036645C">
      <w:pPr>
        <w:pStyle w:val="paragraph"/>
      </w:pPr>
      <w:r w:rsidRPr="00D525A4">
        <w:tab/>
        <w:t>(</w:t>
      </w:r>
      <w:r w:rsidR="0036645C" w:rsidRPr="00D525A4">
        <w:t>d</w:t>
      </w:r>
      <w:r w:rsidRPr="00D525A4">
        <w:t>)</w:t>
      </w:r>
      <w:r w:rsidRPr="00D525A4">
        <w:tab/>
      </w:r>
      <w:r w:rsidR="002E76B7" w:rsidRPr="00D525A4">
        <w:t xml:space="preserve">the </w:t>
      </w:r>
      <w:r w:rsidR="00280B23" w:rsidRPr="00D525A4">
        <w:t>fu</w:t>
      </w:r>
      <w:r w:rsidR="000002BC" w:rsidRPr="00D525A4">
        <w:t xml:space="preserve">ll </w:t>
      </w:r>
      <w:r w:rsidR="002E76B7" w:rsidRPr="00D525A4">
        <w:t xml:space="preserve">name and </w:t>
      </w:r>
      <w:r w:rsidR="0056559A" w:rsidRPr="00D525A4">
        <w:t xml:space="preserve">contact details </w:t>
      </w:r>
      <w:r w:rsidR="002E76B7" w:rsidRPr="00D525A4">
        <w:t>of a</w:t>
      </w:r>
      <w:r w:rsidR="00F77634" w:rsidRPr="00D525A4">
        <w:t>n individual</w:t>
      </w:r>
      <w:r w:rsidR="00C74E92" w:rsidRPr="00D525A4">
        <w:t xml:space="preserve"> at the agency</w:t>
      </w:r>
      <w:r w:rsidR="00C67566" w:rsidRPr="00D525A4">
        <w:t xml:space="preserve"> </w:t>
      </w:r>
      <w:r w:rsidR="002E76B7" w:rsidRPr="00D525A4">
        <w:t xml:space="preserve">who can be contacted in relation to the </w:t>
      </w:r>
      <w:r w:rsidR="003F5B37" w:rsidRPr="00D525A4">
        <w:t>report</w:t>
      </w:r>
      <w:r w:rsidR="002E76B7" w:rsidRPr="00D525A4">
        <w:t xml:space="preserve"> </w:t>
      </w:r>
      <w:r w:rsidR="00D15A18" w:rsidRPr="00D525A4">
        <w:t xml:space="preserve">made to the agency </w:t>
      </w:r>
      <w:r w:rsidR="00C67566" w:rsidRPr="00D525A4">
        <w:t>(to the extent that the information is known)</w:t>
      </w:r>
      <w:r w:rsidRPr="00D525A4">
        <w:t>;</w:t>
      </w:r>
    </w:p>
    <w:p w14:paraId="02AE4CEB" w14:textId="4E5AF34E" w:rsidR="00EF0271" w:rsidRPr="00D525A4" w:rsidRDefault="00EF0271" w:rsidP="0036645C">
      <w:pPr>
        <w:pStyle w:val="paragraph"/>
      </w:pPr>
      <w:r w:rsidRPr="00D525A4">
        <w:tab/>
        <w:t>(</w:t>
      </w:r>
      <w:r w:rsidR="0036645C" w:rsidRPr="00D525A4">
        <w:t>e</w:t>
      </w:r>
      <w:r w:rsidRPr="00D525A4">
        <w:t>)</w:t>
      </w:r>
      <w:r w:rsidRPr="00D525A4">
        <w:tab/>
        <w:t xml:space="preserve">a description of the information </w:t>
      </w:r>
      <w:r w:rsidR="0095494B" w:rsidRPr="00D525A4">
        <w:t xml:space="preserve">about the matter </w:t>
      </w:r>
      <w:r w:rsidRPr="00D525A4">
        <w:t>provided to the agency;</w:t>
      </w:r>
    </w:p>
    <w:p w14:paraId="0A97CD61" w14:textId="792EA893" w:rsidR="00EF0271" w:rsidRPr="00D525A4" w:rsidRDefault="00EF0271" w:rsidP="0036645C">
      <w:pPr>
        <w:pStyle w:val="paragraph"/>
      </w:pPr>
      <w:r w:rsidRPr="00D525A4">
        <w:tab/>
        <w:t>(</w:t>
      </w:r>
      <w:r w:rsidR="0036645C" w:rsidRPr="00D525A4">
        <w:t>f</w:t>
      </w:r>
      <w:r w:rsidRPr="00D525A4">
        <w:t>)</w:t>
      </w:r>
      <w:r w:rsidRPr="00D525A4">
        <w:tab/>
        <w:t>the date the</w:t>
      </w:r>
      <w:r w:rsidR="00AE580C" w:rsidRPr="00D525A4">
        <w:t xml:space="preserve"> matter </w:t>
      </w:r>
      <w:r w:rsidRPr="00D525A4">
        <w:t xml:space="preserve">was </w:t>
      </w:r>
      <w:r w:rsidR="00AE580C" w:rsidRPr="00D525A4">
        <w:t>reported</w:t>
      </w:r>
      <w:r w:rsidRPr="00D525A4">
        <w:t xml:space="preserve"> to the agency</w:t>
      </w:r>
      <w:r w:rsidR="0035008E" w:rsidRPr="00D525A4">
        <w:t>.</w:t>
      </w:r>
    </w:p>
    <w:p w14:paraId="59E4796C" w14:textId="17469301" w:rsidR="00A871EE" w:rsidRPr="00D525A4" w:rsidRDefault="00EC097E" w:rsidP="00FF38FC">
      <w:pPr>
        <w:pStyle w:val="ActHead5"/>
      </w:pPr>
      <w:bookmarkStart w:id="165" w:name="_Toc198225049"/>
      <w:r w:rsidRPr="00D525A4">
        <w:rPr>
          <w:rStyle w:val="CharSectno"/>
        </w:rPr>
        <w:t>8</w:t>
      </w:r>
      <w:r w:rsidR="00D525A4">
        <w:rPr>
          <w:rStyle w:val="CharSectno"/>
        </w:rPr>
        <w:noBreakHyphen/>
      </w:r>
      <w:r w:rsidRPr="00D525A4">
        <w:rPr>
          <w:rStyle w:val="CharSectno"/>
        </w:rPr>
        <w:t>3</w:t>
      </w:r>
      <w:r w:rsidR="00C3388E" w:rsidRPr="00D525A4">
        <w:t xml:space="preserve">  Reports of suspicious matters—information about the person in relation to whom the suspicious matter reporting obligation ar</w:t>
      </w:r>
      <w:r w:rsidR="0088703D" w:rsidRPr="00D525A4">
        <w:t>ose</w:t>
      </w:r>
      <w:r w:rsidR="00C3388E" w:rsidRPr="00D525A4">
        <w:t xml:space="preserve"> for the reporting entity</w:t>
      </w:r>
      <w:bookmarkEnd w:id="165"/>
    </w:p>
    <w:p w14:paraId="1C7621B0" w14:textId="77777777" w:rsidR="00C3388E" w:rsidRPr="00D525A4" w:rsidRDefault="00C3388E" w:rsidP="00C3388E">
      <w:pPr>
        <w:pStyle w:val="SubsectionHead"/>
      </w:pPr>
      <w:r w:rsidRPr="00D525A4">
        <w:t>Information about the person—individual</w:t>
      </w:r>
    </w:p>
    <w:p w14:paraId="556BAC4D" w14:textId="67F655CB" w:rsidR="00FF38FC" w:rsidRPr="00D525A4" w:rsidRDefault="00C3388E" w:rsidP="00FF38FC">
      <w:pPr>
        <w:pStyle w:val="subsection"/>
      </w:pPr>
      <w:r w:rsidRPr="00D525A4">
        <w:tab/>
        <w:t>(1)</w:t>
      </w:r>
      <w:r w:rsidRPr="00D525A4">
        <w:tab/>
        <w:t>If the person in relation to whom the suspicious matter reporting obligation a</w:t>
      </w:r>
      <w:r w:rsidR="0088703D" w:rsidRPr="00D525A4">
        <w:t>rose</w:t>
      </w:r>
      <w:r w:rsidRPr="00D525A4">
        <w:t xml:space="preserve"> for the reporting entity is an individual</w:t>
      </w:r>
      <w:r w:rsidR="003E291B" w:rsidRPr="00D525A4">
        <w:t xml:space="preserve">, the report must contain the following information </w:t>
      </w:r>
      <w:r w:rsidR="00396AE2" w:rsidRPr="00D525A4">
        <w:t>(</w:t>
      </w:r>
      <w:r w:rsidR="003E291B" w:rsidRPr="00D525A4">
        <w:t>as applicable and to the extent that the information is known</w:t>
      </w:r>
      <w:r w:rsidR="00396AE2" w:rsidRPr="00D525A4">
        <w:t>)</w:t>
      </w:r>
      <w:r w:rsidRPr="00D525A4">
        <w:t>:</w:t>
      </w:r>
    </w:p>
    <w:p w14:paraId="773156A7" w14:textId="74F02F11" w:rsidR="00C3388E" w:rsidRPr="00D525A4" w:rsidRDefault="00FF38FC" w:rsidP="00FF38FC">
      <w:pPr>
        <w:pStyle w:val="paragraph"/>
      </w:pPr>
      <w:r w:rsidRPr="00D525A4">
        <w:tab/>
        <w:t>(a)</w:t>
      </w:r>
      <w:r w:rsidRPr="00D525A4">
        <w:tab/>
      </w:r>
      <w:r w:rsidR="00C3388E" w:rsidRPr="00D525A4">
        <w:t>the person’s full name;</w:t>
      </w:r>
    </w:p>
    <w:p w14:paraId="20F6A1FD" w14:textId="51091857" w:rsidR="003E291B" w:rsidRPr="00D525A4" w:rsidRDefault="003E291B" w:rsidP="00FF38FC">
      <w:pPr>
        <w:pStyle w:val="paragraph"/>
      </w:pPr>
      <w:r w:rsidRPr="00D525A4">
        <w:tab/>
        <w:t>(b)</w:t>
      </w:r>
      <w:r w:rsidRPr="00D525A4">
        <w:tab/>
        <w:t xml:space="preserve">other names used by the person (such as a nickname, </w:t>
      </w:r>
      <w:r w:rsidR="00396AE2" w:rsidRPr="00D525A4">
        <w:t>former</w:t>
      </w:r>
      <w:r w:rsidRPr="00D525A4">
        <w:t xml:space="preserve"> name or business name);</w:t>
      </w:r>
    </w:p>
    <w:p w14:paraId="3AD64BC4" w14:textId="5E66FCEB" w:rsidR="00C3388E" w:rsidRPr="00D525A4" w:rsidRDefault="00C3388E" w:rsidP="00C3388E">
      <w:pPr>
        <w:pStyle w:val="paragraph"/>
      </w:pPr>
      <w:r w:rsidRPr="00D525A4">
        <w:tab/>
        <w:t>(</w:t>
      </w:r>
      <w:r w:rsidR="003E291B" w:rsidRPr="00D525A4">
        <w:t>c</w:t>
      </w:r>
      <w:r w:rsidRPr="00D525A4">
        <w:t>)</w:t>
      </w:r>
      <w:r w:rsidRPr="00D525A4">
        <w:tab/>
        <w:t>the person’s date of birth;</w:t>
      </w:r>
    </w:p>
    <w:p w14:paraId="4F05F999" w14:textId="6F382C18" w:rsidR="003E291B" w:rsidRPr="00D525A4" w:rsidRDefault="003E291B" w:rsidP="00C3388E">
      <w:pPr>
        <w:pStyle w:val="paragraph"/>
      </w:pPr>
      <w:r w:rsidRPr="00D525A4">
        <w:tab/>
        <w:t>(d)</w:t>
      </w:r>
      <w:r w:rsidRPr="00D525A4">
        <w:tab/>
        <w:t>the person’s place of birth;</w:t>
      </w:r>
    </w:p>
    <w:p w14:paraId="5D21504D" w14:textId="263CF31A" w:rsidR="003E291B" w:rsidRPr="00D525A4" w:rsidRDefault="003E291B" w:rsidP="00C3388E">
      <w:pPr>
        <w:pStyle w:val="paragraph"/>
      </w:pPr>
      <w:r w:rsidRPr="00D525A4">
        <w:tab/>
        <w:t>(e)</w:t>
      </w:r>
      <w:r w:rsidRPr="00D525A4">
        <w:tab/>
        <w:t>the person’s gender;</w:t>
      </w:r>
    </w:p>
    <w:p w14:paraId="7AA47F5F" w14:textId="44416C1B" w:rsidR="003E291B" w:rsidRPr="00D525A4" w:rsidRDefault="003E291B" w:rsidP="003E291B">
      <w:pPr>
        <w:pStyle w:val="paragraph"/>
      </w:pPr>
      <w:r w:rsidRPr="00D525A4">
        <w:tab/>
        <w:t>(f)</w:t>
      </w:r>
      <w:r w:rsidRPr="00D525A4">
        <w:tab/>
        <w:t>the country or countries of which the person is a citizen;</w:t>
      </w:r>
    </w:p>
    <w:p w14:paraId="70B847C6" w14:textId="538F5E64" w:rsidR="003E291B" w:rsidRPr="00D525A4" w:rsidRDefault="003E291B" w:rsidP="003E291B">
      <w:pPr>
        <w:pStyle w:val="paragraph"/>
      </w:pPr>
      <w:r w:rsidRPr="00D525A4">
        <w:tab/>
        <w:t>(g)</w:t>
      </w:r>
      <w:r w:rsidRPr="00D525A4">
        <w:tab/>
        <w:t>the country or countries the person is treated as being a resident of for the purposes of that country’s tax laws;</w:t>
      </w:r>
    </w:p>
    <w:p w14:paraId="179B30C7" w14:textId="5BFF73B9" w:rsidR="00C3388E" w:rsidRPr="00D525A4" w:rsidRDefault="00C3388E" w:rsidP="00C3388E">
      <w:pPr>
        <w:pStyle w:val="paragraph"/>
      </w:pPr>
      <w:r w:rsidRPr="00D525A4">
        <w:tab/>
        <w:t>(</w:t>
      </w:r>
      <w:r w:rsidR="003E291B" w:rsidRPr="00D525A4">
        <w:t>h</w:t>
      </w:r>
      <w:r w:rsidRPr="00D525A4">
        <w:t>)</w:t>
      </w:r>
      <w:r w:rsidRPr="00D525A4">
        <w:tab/>
        <w:t>the person’s residential address;</w:t>
      </w:r>
    </w:p>
    <w:p w14:paraId="3E054187" w14:textId="16795744" w:rsidR="003E291B" w:rsidRPr="00D525A4" w:rsidRDefault="003E291B" w:rsidP="00C3388E">
      <w:pPr>
        <w:pStyle w:val="paragraph"/>
      </w:pPr>
      <w:r w:rsidRPr="00D525A4">
        <w:tab/>
        <w:t>(i)</w:t>
      </w:r>
      <w:r w:rsidRPr="00D525A4">
        <w:tab/>
        <w:t>the person’s business addresses and postal addresses;</w:t>
      </w:r>
    </w:p>
    <w:p w14:paraId="37AB0880" w14:textId="1DC118A2" w:rsidR="00C3388E" w:rsidRPr="00D525A4" w:rsidRDefault="00C3388E" w:rsidP="00C3388E">
      <w:pPr>
        <w:pStyle w:val="paragraph"/>
      </w:pPr>
      <w:r w:rsidRPr="00D525A4">
        <w:tab/>
        <w:t>(</w:t>
      </w:r>
      <w:r w:rsidR="00A610FC" w:rsidRPr="00D525A4">
        <w:t>j</w:t>
      </w:r>
      <w:r w:rsidRPr="00D525A4">
        <w:t>)</w:t>
      </w:r>
      <w:r w:rsidRPr="00D525A4">
        <w:tab/>
        <w:t>the person’s telephone number;</w:t>
      </w:r>
    </w:p>
    <w:p w14:paraId="026B4325" w14:textId="3080C160" w:rsidR="00C3388E" w:rsidRPr="00D525A4" w:rsidRDefault="00C3388E" w:rsidP="003E291B">
      <w:pPr>
        <w:pStyle w:val="paragraph"/>
      </w:pPr>
      <w:r w:rsidRPr="00D525A4">
        <w:tab/>
        <w:t>(</w:t>
      </w:r>
      <w:r w:rsidR="00A610FC" w:rsidRPr="00D525A4">
        <w:t>k</w:t>
      </w:r>
      <w:r w:rsidRPr="00D525A4">
        <w:t>)</w:t>
      </w:r>
      <w:r w:rsidRPr="00D525A4">
        <w:tab/>
        <w:t>the person’s email address</w:t>
      </w:r>
      <w:r w:rsidR="003E291B" w:rsidRPr="00D525A4">
        <w:t>;</w:t>
      </w:r>
    </w:p>
    <w:p w14:paraId="0593F337" w14:textId="70FF23C6" w:rsidR="00C3388E" w:rsidRPr="00D525A4" w:rsidRDefault="00C3388E" w:rsidP="003E291B">
      <w:pPr>
        <w:pStyle w:val="paragraph"/>
      </w:pPr>
      <w:r w:rsidRPr="00D525A4">
        <w:tab/>
        <w:t>(</w:t>
      </w:r>
      <w:r w:rsidR="00A610FC" w:rsidRPr="00D525A4">
        <w:t>l</w:t>
      </w:r>
      <w:r w:rsidRPr="00D525A4">
        <w:t>)</w:t>
      </w:r>
      <w:r w:rsidRPr="00D525A4">
        <w:tab/>
        <w:t>information on the person’s occupation, business or principal activity;</w:t>
      </w:r>
    </w:p>
    <w:p w14:paraId="17E62AF9" w14:textId="17267C8C" w:rsidR="00C3388E" w:rsidRPr="00D525A4" w:rsidRDefault="00C3388E" w:rsidP="00C3388E">
      <w:pPr>
        <w:pStyle w:val="paragraph"/>
      </w:pPr>
      <w:r w:rsidRPr="00D525A4">
        <w:tab/>
        <w:t>(</w:t>
      </w:r>
      <w:r w:rsidR="00A610FC" w:rsidRPr="00D525A4">
        <w:t>m</w:t>
      </w:r>
      <w:r w:rsidRPr="00D525A4">
        <w:t>)</w:t>
      </w:r>
      <w:r w:rsidRPr="00D525A4">
        <w:tab/>
      </w:r>
      <w:bookmarkStart w:id="166" w:name="_Hlk193356642"/>
      <w:r w:rsidRPr="00D525A4">
        <w:t>a unique identifier for the person;</w:t>
      </w:r>
    </w:p>
    <w:p w14:paraId="4B7674CE" w14:textId="1436AA85" w:rsidR="00454222" w:rsidRPr="00D525A4" w:rsidRDefault="00454222" w:rsidP="00454222">
      <w:pPr>
        <w:pStyle w:val="paragraph"/>
      </w:pPr>
      <w:r w:rsidRPr="00D525A4">
        <w:tab/>
        <w:t>(</w:t>
      </w:r>
      <w:r w:rsidR="00A610FC" w:rsidRPr="00D525A4">
        <w:t>n</w:t>
      </w:r>
      <w:r w:rsidRPr="00D525A4">
        <w:t>)</w:t>
      </w:r>
      <w:r w:rsidRPr="00D525A4">
        <w:tab/>
        <w:t xml:space="preserve">a description of the reliable and independent data used by the reporting entity to verify KYC information relating to the person in accordance with </w:t>
      </w:r>
      <w:r w:rsidR="009F59ED" w:rsidRPr="00D525A4">
        <w:t>paragraph 2</w:t>
      </w:r>
      <w:r w:rsidRPr="00D525A4">
        <w:t>8(3)(d) of the Act;</w:t>
      </w:r>
    </w:p>
    <w:p w14:paraId="740B4974" w14:textId="5D53A02F" w:rsidR="00C3388E" w:rsidRPr="00D525A4" w:rsidRDefault="00454222" w:rsidP="00C3388E">
      <w:pPr>
        <w:pStyle w:val="paragraph"/>
      </w:pPr>
      <w:r w:rsidRPr="00D525A4">
        <w:tab/>
        <w:t>(</w:t>
      </w:r>
      <w:r w:rsidR="00A610FC" w:rsidRPr="00D525A4">
        <w:t>o</w:t>
      </w:r>
      <w:r w:rsidRPr="00D525A4">
        <w:t>)</w:t>
      </w:r>
      <w:r w:rsidRPr="00D525A4">
        <w:tab/>
        <w:t xml:space="preserve">a reference number associated with the person provided by an accredited entity (within the meaning of the </w:t>
      </w:r>
      <w:r w:rsidRPr="00D525A4">
        <w:rPr>
          <w:i/>
          <w:iCs/>
        </w:rPr>
        <w:t>Digital ID Act 2024</w:t>
      </w:r>
      <w:r w:rsidRPr="00D525A4">
        <w:t xml:space="preserve">) in the course of verifying KYC information relating to the person in accordance with </w:t>
      </w:r>
      <w:r w:rsidR="009F59ED" w:rsidRPr="00D525A4">
        <w:t>paragraph 2</w:t>
      </w:r>
      <w:r w:rsidRPr="00D525A4">
        <w:t>8(3)(d) of the Act</w:t>
      </w:r>
      <w:bookmarkEnd w:id="166"/>
      <w:r w:rsidR="00C3388E" w:rsidRPr="00D525A4">
        <w:t>;</w:t>
      </w:r>
    </w:p>
    <w:p w14:paraId="42CD2666" w14:textId="5A3E184A" w:rsidR="00AA0D18" w:rsidRPr="00D525A4" w:rsidRDefault="00C3388E" w:rsidP="00C3388E">
      <w:pPr>
        <w:pStyle w:val="paragraph"/>
      </w:pPr>
      <w:r w:rsidRPr="00D525A4">
        <w:tab/>
        <w:t>(</w:t>
      </w:r>
      <w:r w:rsidR="00A610FC" w:rsidRPr="00D525A4">
        <w:t>p</w:t>
      </w:r>
      <w:r w:rsidRPr="00D525A4">
        <w:t>)</w:t>
      </w:r>
      <w:r w:rsidRPr="00D525A4">
        <w:tab/>
        <w:t>if the person’s identity cannot be established by the reporting entity—</w:t>
      </w:r>
      <w:r w:rsidR="00AA0D18" w:rsidRPr="00D525A4">
        <w:t>the following information:</w:t>
      </w:r>
    </w:p>
    <w:p w14:paraId="2F2181C1" w14:textId="53973C66" w:rsidR="00AA0D18" w:rsidRPr="00D525A4" w:rsidRDefault="00AA0D18" w:rsidP="00AA0D18">
      <w:pPr>
        <w:pStyle w:val="paragraphsub"/>
      </w:pPr>
      <w:r w:rsidRPr="00D525A4">
        <w:lastRenderedPageBreak/>
        <w:tab/>
        <w:t>(i)</w:t>
      </w:r>
      <w:r w:rsidRPr="00D525A4">
        <w:tab/>
        <w:t>a description of the person;</w:t>
      </w:r>
    </w:p>
    <w:p w14:paraId="700DCD6A" w14:textId="70DF57F0" w:rsidR="00C3388E" w:rsidRPr="00D525A4" w:rsidRDefault="00AA0D18" w:rsidP="00AA0D18">
      <w:pPr>
        <w:pStyle w:val="paragraphsub"/>
      </w:pPr>
      <w:r w:rsidRPr="00D525A4">
        <w:tab/>
        <w:t>(ii)</w:t>
      </w:r>
      <w:r w:rsidRPr="00D525A4">
        <w:tab/>
      </w:r>
      <w:r w:rsidR="00C3388E" w:rsidRPr="00D525A4">
        <w:t>whether any still or moving image or any recording of the person is held by the reporting entity;</w:t>
      </w:r>
    </w:p>
    <w:p w14:paraId="62E6FD58" w14:textId="32A7E4F3" w:rsidR="002526AC" w:rsidRPr="00D525A4" w:rsidRDefault="00C3388E" w:rsidP="00454222">
      <w:pPr>
        <w:pStyle w:val="paragraph"/>
      </w:pPr>
      <w:r w:rsidRPr="00D525A4">
        <w:tab/>
        <w:t>(</w:t>
      </w:r>
      <w:r w:rsidR="00A610FC" w:rsidRPr="00D525A4">
        <w:t>q</w:t>
      </w:r>
      <w:r w:rsidRPr="00D525A4">
        <w:t>)</w:t>
      </w:r>
      <w:r w:rsidRPr="00D525A4">
        <w:tab/>
      </w:r>
      <w:r w:rsidR="00454222" w:rsidRPr="00D525A4">
        <w:t>information on the person’s involvement in the matter</w:t>
      </w:r>
      <w:r w:rsidR="00745943" w:rsidRPr="00D525A4">
        <w:t>.</w:t>
      </w:r>
    </w:p>
    <w:p w14:paraId="29DC63ED" w14:textId="300FD9EE" w:rsidR="00C3388E" w:rsidRPr="00D525A4" w:rsidRDefault="00C3388E" w:rsidP="00C3388E">
      <w:pPr>
        <w:pStyle w:val="SubsectionHead"/>
      </w:pPr>
      <w:r w:rsidRPr="00D525A4">
        <w:t>Information about the person—non</w:t>
      </w:r>
      <w:r w:rsidR="00D525A4">
        <w:noBreakHyphen/>
      </w:r>
      <w:r w:rsidRPr="00D525A4">
        <w:t>individual</w:t>
      </w:r>
    </w:p>
    <w:p w14:paraId="7C487C3D" w14:textId="3F12447E" w:rsidR="0089079F" w:rsidRPr="00D525A4" w:rsidRDefault="00C3388E" w:rsidP="00454222">
      <w:pPr>
        <w:pStyle w:val="subsection"/>
      </w:pPr>
      <w:r w:rsidRPr="00D525A4">
        <w:tab/>
        <w:t>(</w:t>
      </w:r>
      <w:r w:rsidR="00454222" w:rsidRPr="00D525A4">
        <w:t>2</w:t>
      </w:r>
      <w:r w:rsidRPr="00D525A4">
        <w:t>)</w:t>
      </w:r>
      <w:r w:rsidRPr="00D525A4">
        <w:tab/>
        <w:t xml:space="preserve">If the person in relation to whom the suspicious matter reporting obligation </w:t>
      </w:r>
      <w:r w:rsidR="0088703D" w:rsidRPr="00D525A4">
        <w:t>arose</w:t>
      </w:r>
      <w:r w:rsidRPr="00D525A4">
        <w:t xml:space="preserve"> for the reporting entity is not an individual</w:t>
      </w:r>
      <w:r w:rsidR="00454222" w:rsidRPr="00D525A4">
        <w:t xml:space="preserve">, </w:t>
      </w:r>
      <w:r w:rsidR="0089079F" w:rsidRPr="00D525A4">
        <w:t xml:space="preserve">the report must contain the </w:t>
      </w:r>
      <w:r w:rsidR="00454222" w:rsidRPr="00D525A4">
        <w:t xml:space="preserve">following </w:t>
      </w:r>
      <w:r w:rsidR="0089079F" w:rsidRPr="00D525A4">
        <w:t xml:space="preserve">information </w:t>
      </w:r>
      <w:r w:rsidR="00052B29" w:rsidRPr="00D525A4">
        <w:t>(</w:t>
      </w:r>
      <w:r w:rsidR="0089079F" w:rsidRPr="00D525A4">
        <w:t>as applicable and to the extent that the information is known</w:t>
      </w:r>
      <w:r w:rsidR="00052B29" w:rsidRPr="00D525A4">
        <w:t>)</w:t>
      </w:r>
      <w:r w:rsidR="00454222" w:rsidRPr="00D525A4">
        <w:t>:</w:t>
      </w:r>
    </w:p>
    <w:p w14:paraId="359A2ABE" w14:textId="77777777" w:rsidR="00974DC9" w:rsidRPr="00D525A4" w:rsidRDefault="00C3388E" w:rsidP="00C3388E">
      <w:pPr>
        <w:pStyle w:val="paragraph"/>
      </w:pPr>
      <w:r w:rsidRPr="00D525A4">
        <w:tab/>
        <w:t>(a)</w:t>
      </w:r>
      <w:r w:rsidRPr="00D525A4">
        <w:tab/>
        <w:t>the person’s</w:t>
      </w:r>
      <w:r w:rsidR="000002BC" w:rsidRPr="00D525A4">
        <w:t xml:space="preserve"> full</w:t>
      </w:r>
      <w:r w:rsidRPr="00D525A4">
        <w:t xml:space="preserve"> name</w:t>
      </w:r>
      <w:r w:rsidR="00974DC9" w:rsidRPr="00D525A4">
        <w:t>;</w:t>
      </w:r>
    </w:p>
    <w:p w14:paraId="15A67B6B" w14:textId="0CE84294" w:rsidR="00C3388E" w:rsidRPr="00D525A4" w:rsidRDefault="00974DC9" w:rsidP="00C3388E">
      <w:pPr>
        <w:pStyle w:val="paragraph"/>
      </w:pPr>
      <w:r w:rsidRPr="00D525A4">
        <w:tab/>
        <w:t>(b)</w:t>
      </w:r>
      <w:r w:rsidRPr="00D525A4">
        <w:tab/>
        <w:t xml:space="preserve">other names used by the </w:t>
      </w:r>
      <w:r w:rsidR="008F62FA" w:rsidRPr="00D525A4">
        <w:t>person</w:t>
      </w:r>
      <w:r w:rsidRPr="00D525A4">
        <w:t xml:space="preserve"> (such as a business name)</w:t>
      </w:r>
      <w:r w:rsidR="00C3388E" w:rsidRPr="00D525A4">
        <w:t>;</w:t>
      </w:r>
    </w:p>
    <w:p w14:paraId="2D94019B" w14:textId="01338EA9" w:rsidR="008F62FA" w:rsidRPr="00D525A4" w:rsidRDefault="00974DC9" w:rsidP="008F62FA">
      <w:pPr>
        <w:pStyle w:val="paragraph"/>
      </w:pPr>
      <w:r w:rsidRPr="00D525A4">
        <w:tab/>
        <w:t>(c)</w:t>
      </w:r>
      <w:r w:rsidRPr="00D525A4">
        <w:tab/>
      </w:r>
      <w:r w:rsidR="008F62FA" w:rsidRPr="00D525A4">
        <w:t>the country or countries in which the person was incorporated, formed or registered;</w:t>
      </w:r>
    </w:p>
    <w:p w14:paraId="2ED984AD" w14:textId="2383E6C1" w:rsidR="00C3388E" w:rsidRPr="00D525A4" w:rsidRDefault="008F62FA" w:rsidP="008F62FA">
      <w:pPr>
        <w:pStyle w:val="paragraph"/>
      </w:pPr>
      <w:r w:rsidRPr="00D525A4">
        <w:tab/>
        <w:t>(d)</w:t>
      </w:r>
      <w:r w:rsidRPr="00D525A4">
        <w:tab/>
        <w:t>the country or countries the person is treated as being a resident of for the purposes of that country’s tax laws;</w:t>
      </w:r>
    </w:p>
    <w:p w14:paraId="69C39B4A" w14:textId="64AC8A92" w:rsidR="00C3388E" w:rsidRPr="00D525A4" w:rsidRDefault="00C3388E" w:rsidP="00C3388E">
      <w:pPr>
        <w:pStyle w:val="paragraph"/>
      </w:pPr>
      <w:r w:rsidRPr="00D525A4">
        <w:tab/>
        <w:t>(</w:t>
      </w:r>
      <w:r w:rsidR="00DE7DCB" w:rsidRPr="00D525A4">
        <w:t>e</w:t>
      </w:r>
      <w:r w:rsidRPr="00D525A4">
        <w:t>)</w:t>
      </w:r>
      <w:r w:rsidRPr="00D525A4">
        <w:tab/>
        <w:t>the address of the person’s registered office;</w:t>
      </w:r>
    </w:p>
    <w:p w14:paraId="102959CD" w14:textId="71037D97" w:rsidR="00C3388E" w:rsidRPr="00D525A4" w:rsidRDefault="00C3388E" w:rsidP="00C3388E">
      <w:pPr>
        <w:pStyle w:val="paragraph"/>
      </w:pPr>
      <w:r w:rsidRPr="00D525A4">
        <w:tab/>
        <w:t>(</w:t>
      </w:r>
      <w:r w:rsidR="00DE7DCB" w:rsidRPr="00D525A4">
        <w:t>f</w:t>
      </w:r>
      <w:r w:rsidRPr="00D525A4">
        <w:t>)</w:t>
      </w:r>
      <w:r w:rsidRPr="00D525A4">
        <w:tab/>
        <w:t>the address at which the person’s business or principal activity is conducted;</w:t>
      </w:r>
    </w:p>
    <w:p w14:paraId="2FA60417" w14:textId="305F3097" w:rsidR="00DE7DCB" w:rsidRPr="00D525A4" w:rsidRDefault="00DE7DCB" w:rsidP="00C3388E">
      <w:pPr>
        <w:pStyle w:val="paragraph"/>
      </w:pPr>
      <w:r w:rsidRPr="00D525A4">
        <w:tab/>
        <w:t>(g)</w:t>
      </w:r>
      <w:r w:rsidRPr="00D525A4">
        <w:tab/>
        <w:t>the person’s postal address;</w:t>
      </w:r>
    </w:p>
    <w:p w14:paraId="1D66C0E0" w14:textId="5C8D1667" w:rsidR="00C3388E" w:rsidRPr="00D525A4" w:rsidRDefault="00C3388E" w:rsidP="00C3388E">
      <w:pPr>
        <w:pStyle w:val="paragraph"/>
      </w:pPr>
      <w:r w:rsidRPr="00D525A4">
        <w:tab/>
        <w:t>(</w:t>
      </w:r>
      <w:r w:rsidR="00DE7DCB" w:rsidRPr="00D525A4">
        <w:t>h</w:t>
      </w:r>
      <w:r w:rsidRPr="00D525A4">
        <w:t>)</w:t>
      </w:r>
      <w:r w:rsidRPr="00D525A4">
        <w:tab/>
      </w:r>
      <w:r w:rsidR="00454222" w:rsidRPr="00D525A4">
        <w:t>the person’s</w:t>
      </w:r>
      <w:r w:rsidRPr="00D525A4">
        <w:t xml:space="preserve"> telephone number</w:t>
      </w:r>
      <w:r w:rsidR="00DE7DCB" w:rsidRPr="00D525A4">
        <w:t>;</w:t>
      </w:r>
    </w:p>
    <w:p w14:paraId="1E5549E4" w14:textId="1C454BB7" w:rsidR="00DE7DCB" w:rsidRPr="00D525A4" w:rsidRDefault="00C3388E" w:rsidP="00C3388E">
      <w:pPr>
        <w:pStyle w:val="paragraph"/>
      </w:pPr>
      <w:r w:rsidRPr="00D525A4">
        <w:tab/>
        <w:t>(</w:t>
      </w:r>
      <w:r w:rsidR="00DE7DCB" w:rsidRPr="00D525A4">
        <w:t>i</w:t>
      </w:r>
      <w:r w:rsidRPr="00D525A4">
        <w:t>)</w:t>
      </w:r>
      <w:r w:rsidRPr="00D525A4">
        <w:tab/>
      </w:r>
      <w:r w:rsidR="00DE7DCB" w:rsidRPr="00D525A4">
        <w:t>the person’s email address</w:t>
      </w:r>
      <w:r w:rsidRPr="00D525A4">
        <w:t>;</w:t>
      </w:r>
    </w:p>
    <w:p w14:paraId="18E98825" w14:textId="29BBFA90" w:rsidR="00C3388E" w:rsidRPr="00D525A4" w:rsidRDefault="00C3388E" w:rsidP="00C3388E">
      <w:pPr>
        <w:pStyle w:val="paragraph"/>
      </w:pPr>
      <w:r w:rsidRPr="00D525A4">
        <w:tab/>
        <w:t>(</w:t>
      </w:r>
      <w:r w:rsidR="00470356" w:rsidRPr="00D525A4">
        <w:t>j</w:t>
      </w:r>
      <w:r w:rsidRPr="00D525A4">
        <w:t>)</w:t>
      </w:r>
      <w:r w:rsidRPr="00D525A4">
        <w:tab/>
        <w:t>information on the person’s business or principal activity;</w:t>
      </w:r>
    </w:p>
    <w:p w14:paraId="1AF2C711" w14:textId="712E5862" w:rsidR="00C3388E" w:rsidRPr="00D525A4" w:rsidRDefault="00C3388E" w:rsidP="00C3388E">
      <w:pPr>
        <w:pStyle w:val="paragraph"/>
      </w:pPr>
      <w:r w:rsidRPr="00D525A4">
        <w:tab/>
        <w:t>(</w:t>
      </w:r>
      <w:r w:rsidR="00470356" w:rsidRPr="00D525A4">
        <w:t>k</w:t>
      </w:r>
      <w:r w:rsidRPr="00D525A4">
        <w:t>)</w:t>
      </w:r>
      <w:r w:rsidRPr="00D525A4">
        <w:tab/>
      </w:r>
      <w:r w:rsidR="00BD45B5" w:rsidRPr="00D525A4">
        <w:t xml:space="preserve">information about the legal form of the </w:t>
      </w:r>
      <w:r w:rsidR="00A871EE" w:rsidRPr="00D525A4">
        <w:t>person</w:t>
      </w:r>
      <w:r w:rsidR="00BD45B5" w:rsidRPr="00D525A4">
        <w:t xml:space="preserve"> (such as a partnership, company or trust)</w:t>
      </w:r>
      <w:r w:rsidRPr="00D525A4">
        <w:t>;</w:t>
      </w:r>
    </w:p>
    <w:p w14:paraId="6ECB8FD2" w14:textId="048F7002" w:rsidR="00C3388E" w:rsidRPr="00D525A4" w:rsidRDefault="00C3388E" w:rsidP="00C3388E">
      <w:pPr>
        <w:pStyle w:val="paragraph"/>
      </w:pPr>
      <w:r w:rsidRPr="00D525A4">
        <w:tab/>
        <w:t>(</w:t>
      </w:r>
      <w:r w:rsidR="00470356" w:rsidRPr="00D525A4">
        <w:t>l</w:t>
      </w:r>
      <w:r w:rsidRPr="00D525A4">
        <w:t>)</w:t>
      </w:r>
      <w:r w:rsidRPr="00D525A4">
        <w:tab/>
        <w:t xml:space="preserve">the </w:t>
      </w:r>
      <w:r w:rsidR="000002BC" w:rsidRPr="00D525A4">
        <w:t xml:space="preserve">full </w:t>
      </w:r>
      <w:r w:rsidRPr="00D525A4">
        <w:t>names of the person’s beneficial owners;</w:t>
      </w:r>
    </w:p>
    <w:p w14:paraId="66E3CFB3" w14:textId="4F0F9161" w:rsidR="00470356" w:rsidRPr="00D525A4" w:rsidRDefault="00470356" w:rsidP="00C3388E">
      <w:pPr>
        <w:pStyle w:val="paragraph"/>
      </w:pPr>
      <w:r w:rsidRPr="00D525A4">
        <w:tab/>
        <w:t>(m)</w:t>
      </w:r>
      <w:r w:rsidRPr="00D525A4">
        <w:tab/>
        <w:t>if the person is a body corporate—the full name</w:t>
      </w:r>
      <w:r w:rsidR="00B0121F" w:rsidRPr="00D525A4">
        <w:t>,</w:t>
      </w:r>
      <w:r w:rsidRPr="00D525A4">
        <w:t xml:space="preserve"> and director identification number (within the meaning of the </w:t>
      </w:r>
      <w:r w:rsidRPr="00D525A4">
        <w:rPr>
          <w:i/>
          <w:iCs/>
        </w:rPr>
        <w:t>Corporations Act 2001</w:t>
      </w:r>
      <w:r w:rsidRPr="00D525A4">
        <w:t>)</w:t>
      </w:r>
      <w:r w:rsidR="00B0121F" w:rsidRPr="00D525A4">
        <w:t xml:space="preserve"> (if any),</w:t>
      </w:r>
      <w:r w:rsidRPr="00D525A4">
        <w:t xml:space="preserve"> of </w:t>
      </w:r>
      <w:r w:rsidR="00B0121F" w:rsidRPr="00D525A4">
        <w:t xml:space="preserve">each </w:t>
      </w:r>
      <w:r w:rsidRPr="00D525A4">
        <w:t>eligible officer (within the meaning of th</w:t>
      </w:r>
      <w:r w:rsidR="00B0121F" w:rsidRPr="00D525A4">
        <w:t>at Act</w:t>
      </w:r>
      <w:r w:rsidRPr="00D525A4">
        <w:t>) of the person</w:t>
      </w:r>
      <w:r w:rsidR="00A610FC" w:rsidRPr="00D525A4">
        <w:t>;</w:t>
      </w:r>
    </w:p>
    <w:p w14:paraId="201B3C54" w14:textId="5CCDCF0E" w:rsidR="00470356" w:rsidRPr="00D525A4" w:rsidRDefault="00470356" w:rsidP="00470356">
      <w:pPr>
        <w:pStyle w:val="paragraph"/>
      </w:pPr>
      <w:r w:rsidRPr="00D525A4">
        <w:tab/>
        <w:t>(n)</w:t>
      </w:r>
      <w:r w:rsidRPr="00D525A4">
        <w:tab/>
        <w:t xml:space="preserve">if the person is an </w:t>
      </w:r>
      <w:r w:rsidR="00B64841" w:rsidRPr="00D525A4">
        <w:t>express</w:t>
      </w:r>
      <w:r w:rsidRPr="00D525A4">
        <w:t xml:space="preserve"> trust, the following information:</w:t>
      </w:r>
    </w:p>
    <w:p w14:paraId="4FE61BD6" w14:textId="76F2C562" w:rsidR="00470356" w:rsidRPr="00D525A4" w:rsidRDefault="00470356" w:rsidP="00470356">
      <w:pPr>
        <w:pStyle w:val="paragraphsub"/>
      </w:pPr>
      <w:r w:rsidRPr="00D525A4">
        <w:tab/>
        <w:t>(i)</w:t>
      </w:r>
      <w:r w:rsidRPr="00D525A4">
        <w:tab/>
        <w:t xml:space="preserve">the </w:t>
      </w:r>
      <w:r w:rsidR="00E74174" w:rsidRPr="00D525A4">
        <w:t>kind</w:t>
      </w:r>
      <w:r w:rsidRPr="00D525A4">
        <w:t xml:space="preserve"> of trust (such as discretionary trust, bare trust or unit trust);</w:t>
      </w:r>
    </w:p>
    <w:p w14:paraId="49C6B8DC" w14:textId="77777777" w:rsidR="00470356" w:rsidRPr="00D525A4" w:rsidRDefault="00470356" w:rsidP="00470356">
      <w:pPr>
        <w:pStyle w:val="paragraphsub"/>
      </w:pPr>
      <w:r w:rsidRPr="00D525A4">
        <w:tab/>
        <w:t>(ii)</w:t>
      </w:r>
      <w:r w:rsidRPr="00D525A4">
        <w:tab/>
        <w:t>the full name of the trustee;</w:t>
      </w:r>
    </w:p>
    <w:p w14:paraId="2A4669AC" w14:textId="77777777" w:rsidR="00470356" w:rsidRPr="00D525A4" w:rsidRDefault="00470356" w:rsidP="00470356">
      <w:pPr>
        <w:pStyle w:val="paragraphsub"/>
      </w:pPr>
      <w:r w:rsidRPr="00D525A4">
        <w:tab/>
        <w:t>(iii)</w:t>
      </w:r>
      <w:r w:rsidRPr="00D525A4">
        <w:tab/>
        <w:t>the full name of any settlor, appointor, guardian or protector of the trust;</w:t>
      </w:r>
    </w:p>
    <w:p w14:paraId="3CB39B7F" w14:textId="5AF596C0" w:rsidR="00470356" w:rsidRPr="00D525A4" w:rsidRDefault="00470356" w:rsidP="00470356">
      <w:pPr>
        <w:pStyle w:val="paragraphsub"/>
      </w:pPr>
      <w:r w:rsidRPr="00D525A4">
        <w:tab/>
        <w:t>(iv)</w:t>
      </w:r>
      <w:r w:rsidRPr="00D525A4">
        <w:tab/>
        <w:t>the full names of the beneficiaries of the trust, or if it is not possible to identify each beneficiary because of the nature of the trust</w:t>
      </w:r>
      <w:r w:rsidR="00DD2B51" w:rsidRPr="00D525A4">
        <w:t>,</w:t>
      </w:r>
      <w:r w:rsidRPr="00D525A4">
        <w:t xml:space="preserve"> a description of each class of beneficiary;</w:t>
      </w:r>
    </w:p>
    <w:p w14:paraId="28F49443" w14:textId="559FEF64" w:rsidR="0072192B" w:rsidRPr="00D525A4" w:rsidRDefault="00C3388E" w:rsidP="00470356">
      <w:pPr>
        <w:pStyle w:val="paragraph"/>
      </w:pPr>
      <w:r w:rsidRPr="00D525A4">
        <w:tab/>
        <w:t>(</w:t>
      </w:r>
      <w:r w:rsidR="00470356" w:rsidRPr="00D525A4">
        <w:t>o)</w:t>
      </w:r>
      <w:r w:rsidRPr="00D525A4">
        <w:tab/>
      </w:r>
      <w:r w:rsidR="008F62FA" w:rsidRPr="00D525A4">
        <w:t>a unique identifier for the person;</w:t>
      </w:r>
    </w:p>
    <w:p w14:paraId="568C0035" w14:textId="5CC6D2E7" w:rsidR="00C3388E" w:rsidRPr="00D525A4" w:rsidRDefault="00C3388E" w:rsidP="00470356">
      <w:pPr>
        <w:pStyle w:val="paragraph"/>
      </w:pPr>
      <w:r w:rsidRPr="00D525A4">
        <w:tab/>
        <w:t>(</w:t>
      </w:r>
      <w:r w:rsidR="00470356" w:rsidRPr="00D525A4">
        <w:t>p</w:t>
      </w:r>
      <w:r w:rsidRPr="00D525A4">
        <w:t>)</w:t>
      </w:r>
      <w:r w:rsidRPr="00D525A4">
        <w:tab/>
        <w:t xml:space="preserve">a description of the reliable and independent data used by the reporting entity to verify KYC information relating to the person in accordance with </w:t>
      </w:r>
      <w:r w:rsidR="009F59ED" w:rsidRPr="00D525A4">
        <w:t>paragraph 2</w:t>
      </w:r>
      <w:r w:rsidRPr="00D525A4">
        <w:t>8(3)(d) of the Act;</w:t>
      </w:r>
    </w:p>
    <w:p w14:paraId="53F0CBCE" w14:textId="454DF7C5" w:rsidR="00C3388E" w:rsidRPr="00D525A4" w:rsidRDefault="00C3388E" w:rsidP="00C3388E">
      <w:pPr>
        <w:pStyle w:val="paragraph"/>
      </w:pPr>
      <w:r w:rsidRPr="00D525A4">
        <w:tab/>
        <w:t>(</w:t>
      </w:r>
      <w:r w:rsidR="00470356" w:rsidRPr="00D525A4">
        <w:t>q</w:t>
      </w:r>
      <w:r w:rsidRPr="00D525A4">
        <w:t>)</w:t>
      </w:r>
      <w:r w:rsidRPr="00D525A4">
        <w:tab/>
        <w:t>information on the person’s involvement in the matter.</w:t>
      </w:r>
    </w:p>
    <w:p w14:paraId="57C77833" w14:textId="33DA5F4E" w:rsidR="00C3388E" w:rsidRPr="00D525A4" w:rsidRDefault="00C3388E" w:rsidP="00C3388E">
      <w:pPr>
        <w:pStyle w:val="SubsectionHead"/>
      </w:pPr>
      <w:r w:rsidRPr="00D525A4">
        <w:t xml:space="preserve">Information about </w:t>
      </w:r>
      <w:r w:rsidR="009139DF" w:rsidRPr="00D525A4">
        <w:t>authorised persons</w:t>
      </w:r>
    </w:p>
    <w:p w14:paraId="1A5B189E" w14:textId="54C8413C" w:rsidR="00C3388E" w:rsidRPr="00D525A4" w:rsidRDefault="00C3388E" w:rsidP="00C3388E">
      <w:pPr>
        <w:pStyle w:val="subsection"/>
      </w:pPr>
      <w:r w:rsidRPr="00D525A4">
        <w:tab/>
        <w:t>(</w:t>
      </w:r>
      <w:r w:rsidR="00470356" w:rsidRPr="00D525A4">
        <w:t>3</w:t>
      </w:r>
      <w:r w:rsidRPr="00D525A4">
        <w:t>)</w:t>
      </w:r>
      <w:r w:rsidRPr="00D525A4">
        <w:tab/>
      </w:r>
      <w:r w:rsidR="00686518" w:rsidRPr="00D525A4">
        <w:t xml:space="preserve">If a person involved in the matter </w:t>
      </w:r>
      <w:r w:rsidR="00826A38" w:rsidRPr="00D525A4">
        <w:t>i</w:t>
      </w:r>
      <w:r w:rsidR="00D879F0" w:rsidRPr="00D525A4">
        <w:t>s authorised</w:t>
      </w:r>
      <w:r w:rsidR="002A21D7" w:rsidRPr="00D525A4">
        <w:t xml:space="preserve"> to act </w:t>
      </w:r>
      <w:r w:rsidR="0055511B" w:rsidRPr="00D525A4">
        <w:t xml:space="preserve">on behalf of another person </w:t>
      </w:r>
      <w:r w:rsidR="00686518" w:rsidRPr="00D525A4">
        <w:t xml:space="preserve">in relation to the provision or proposed provision of the designated service to </w:t>
      </w:r>
      <w:r w:rsidR="00686518" w:rsidRPr="00D525A4">
        <w:lastRenderedPageBreak/>
        <w:t>which the matter relates, the report must contain the following information</w:t>
      </w:r>
      <w:r w:rsidRPr="00D525A4">
        <w:t xml:space="preserve"> (to the extent that the information is known):</w:t>
      </w:r>
    </w:p>
    <w:p w14:paraId="33CC21F1" w14:textId="042E142F" w:rsidR="00C3388E" w:rsidRPr="00D525A4" w:rsidRDefault="00C3388E" w:rsidP="00C3388E">
      <w:pPr>
        <w:pStyle w:val="paragraph"/>
      </w:pPr>
      <w:r w:rsidRPr="00D525A4">
        <w:tab/>
        <w:t>(a)</w:t>
      </w:r>
      <w:r w:rsidRPr="00D525A4">
        <w:tab/>
        <w:t>whether the</w:t>
      </w:r>
      <w:r w:rsidR="006A6B87" w:rsidRPr="00D525A4">
        <w:t xml:space="preserve"> </w:t>
      </w:r>
      <w:r w:rsidR="007F51D0" w:rsidRPr="00D525A4">
        <w:t xml:space="preserve">authorised person </w:t>
      </w:r>
      <w:r w:rsidRPr="00D525A4">
        <w:t>is a customer of the reporting entity;</w:t>
      </w:r>
    </w:p>
    <w:p w14:paraId="393EEB66" w14:textId="0F1078B8" w:rsidR="00C3388E" w:rsidRPr="00D525A4" w:rsidRDefault="00C3388E" w:rsidP="00C3388E">
      <w:pPr>
        <w:pStyle w:val="paragraph"/>
      </w:pPr>
      <w:r w:rsidRPr="00D525A4">
        <w:tab/>
        <w:t>(b)</w:t>
      </w:r>
      <w:r w:rsidRPr="00D525A4">
        <w:tab/>
        <w:t>a description of the relationship between the</w:t>
      </w:r>
      <w:r w:rsidR="006A6B87" w:rsidRPr="00D525A4">
        <w:t xml:space="preserve"> </w:t>
      </w:r>
      <w:r w:rsidR="00091EC9" w:rsidRPr="00D525A4">
        <w:t xml:space="preserve">authorised </w:t>
      </w:r>
      <w:r w:rsidR="007F51D0" w:rsidRPr="00D525A4">
        <w:t>person</w:t>
      </w:r>
      <w:r w:rsidRPr="00D525A4">
        <w:t xml:space="preserve"> and th</w:t>
      </w:r>
      <w:r w:rsidR="00826A38" w:rsidRPr="00D525A4">
        <w:t>at</w:t>
      </w:r>
      <w:r w:rsidRPr="00D525A4">
        <w:t xml:space="preserve"> </w:t>
      </w:r>
      <w:r w:rsidR="00826A38" w:rsidRPr="00D525A4">
        <w:t>other person</w:t>
      </w:r>
      <w:r w:rsidRPr="00D525A4">
        <w:t>;</w:t>
      </w:r>
    </w:p>
    <w:p w14:paraId="6A9ADEBC" w14:textId="3A512625" w:rsidR="00C3388E" w:rsidRPr="00D525A4" w:rsidRDefault="00C3388E" w:rsidP="00C3388E">
      <w:pPr>
        <w:pStyle w:val="paragraph"/>
      </w:pPr>
      <w:r w:rsidRPr="00D525A4">
        <w:tab/>
        <w:t>(c)</w:t>
      </w:r>
      <w:r w:rsidRPr="00D525A4">
        <w:tab/>
        <w:t xml:space="preserve">a description of the authority for the </w:t>
      </w:r>
      <w:r w:rsidR="006A6B87" w:rsidRPr="00D525A4">
        <w:t xml:space="preserve">authorised person </w:t>
      </w:r>
      <w:r w:rsidR="00A71511" w:rsidRPr="00D525A4">
        <w:t xml:space="preserve">to act </w:t>
      </w:r>
      <w:r w:rsidR="00826A38" w:rsidRPr="00D525A4">
        <w:t>on behalf of that other person</w:t>
      </w:r>
      <w:r w:rsidR="00825F33" w:rsidRPr="00D525A4">
        <w:t>;</w:t>
      </w:r>
    </w:p>
    <w:p w14:paraId="1C624914" w14:textId="028701C5" w:rsidR="00826A38" w:rsidRPr="00D525A4" w:rsidRDefault="00825F33" w:rsidP="00BE0F18">
      <w:pPr>
        <w:pStyle w:val="paragraph"/>
      </w:pPr>
      <w:r w:rsidRPr="00D525A4">
        <w:tab/>
        <w:t>(d)</w:t>
      </w:r>
      <w:r w:rsidRPr="00D525A4">
        <w:tab/>
      </w:r>
      <w:r w:rsidR="008B28EA" w:rsidRPr="00D525A4">
        <w:t xml:space="preserve">the information about the identity of the </w:t>
      </w:r>
      <w:r w:rsidR="006A6B87" w:rsidRPr="00D525A4">
        <w:t>authorised person</w:t>
      </w:r>
      <w:r w:rsidR="00F70EEF" w:rsidRPr="00D525A4">
        <w:t xml:space="preserve"> </w:t>
      </w:r>
      <w:r w:rsidR="00AA2187" w:rsidRPr="00D525A4">
        <w:t>that would be</w:t>
      </w:r>
      <w:r w:rsidR="008B28EA" w:rsidRPr="00D525A4">
        <w:t xml:space="preserve"> required by </w:t>
      </w:r>
      <w:r w:rsidR="0013261E" w:rsidRPr="00D525A4">
        <w:t>subsections (</w:t>
      </w:r>
      <w:r w:rsidR="008B28EA" w:rsidRPr="00D525A4">
        <w:t xml:space="preserve">1) </w:t>
      </w:r>
      <w:r w:rsidR="00A610FC" w:rsidRPr="00D525A4">
        <w:t>or</w:t>
      </w:r>
      <w:r w:rsidR="008B28EA" w:rsidRPr="00D525A4">
        <w:t xml:space="preserve"> (</w:t>
      </w:r>
      <w:r w:rsidR="006A6B87" w:rsidRPr="00D525A4">
        <w:t>2</w:t>
      </w:r>
      <w:r w:rsidR="008B28EA" w:rsidRPr="00D525A4">
        <w:t xml:space="preserve">) if </w:t>
      </w:r>
      <w:r w:rsidR="004A3D06" w:rsidRPr="00D525A4">
        <w:t xml:space="preserve">the </w:t>
      </w:r>
      <w:r w:rsidR="006A6B87" w:rsidRPr="00D525A4">
        <w:t>authorised person</w:t>
      </w:r>
      <w:r w:rsidR="008B28EA" w:rsidRPr="00D525A4">
        <w:t xml:space="preserve"> were the person in relation to whom the suspicious matter reporting obligation ar</w:t>
      </w:r>
      <w:r w:rsidR="00AA2187" w:rsidRPr="00D525A4">
        <w:t>ose</w:t>
      </w:r>
      <w:r w:rsidR="008B28EA" w:rsidRPr="00D525A4">
        <w:t xml:space="preserve"> for the reporting entity</w:t>
      </w:r>
      <w:r w:rsidR="000C4157" w:rsidRPr="00D525A4">
        <w:t>.</w:t>
      </w:r>
    </w:p>
    <w:p w14:paraId="7B7272A0" w14:textId="11FA53D8" w:rsidR="00EF0271" w:rsidRPr="00D525A4" w:rsidRDefault="00EC097E" w:rsidP="0035008E">
      <w:pPr>
        <w:pStyle w:val="ActHead5"/>
      </w:pPr>
      <w:bookmarkStart w:id="167" w:name="_Toc198225050"/>
      <w:r w:rsidRPr="00D525A4">
        <w:rPr>
          <w:rStyle w:val="CharSectno"/>
        </w:rPr>
        <w:t>8</w:t>
      </w:r>
      <w:r w:rsidR="00D525A4">
        <w:rPr>
          <w:rStyle w:val="CharSectno"/>
        </w:rPr>
        <w:noBreakHyphen/>
      </w:r>
      <w:r w:rsidRPr="00D525A4">
        <w:rPr>
          <w:rStyle w:val="CharSectno"/>
        </w:rPr>
        <w:t>4</w:t>
      </w:r>
      <w:r w:rsidR="00F262F1" w:rsidRPr="00D525A4">
        <w:t xml:space="preserve">  </w:t>
      </w:r>
      <w:r w:rsidR="00D1146B" w:rsidRPr="00D525A4">
        <w:t>Reports of suspicious matters—i</w:t>
      </w:r>
      <w:r w:rsidR="00EF0271" w:rsidRPr="00D525A4">
        <w:t>nformation about the matter</w:t>
      </w:r>
      <w:bookmarkEnd w:id="167"/>
    </w:p>
    <w:p w14:paraId="482713EE" w14:textId="3D4911D8" w:rsidR="005A03D9" w:rsidRPr="00D525A4" w:rsidRDefault="002C6C87" w:rsidP="00F2459E">
      <w:pPr>
        <w:pStyle w:val="subsection"/>
      </w:pPr>
      <w:r w:rsidRPr="00D525A4">
        <w:tab/>
        <w:t>(</w:t>
      </w:r>
      <w:r w:rsidR="00F262F1" w:rsidRPr="00D525A4">
        <w:t>1</w:t>
      </w:r>
      <w:r w:rsidRPr="00D525A4">
        <w:t>)</w:t>
      </w:r>
      <w:r w:rsidRPr="00D525A4">
        <w:tab/>
        <w:t>The report must contain the following information about the matter:</w:t>
      </w:r>
    </w:p>
    <w:p w14:paraId="7185F0FA" w14:textId="39DE142E" w:rsidR="00055E68" w:rsidRPr="00D525A4" w:rsidRDefault="00055E68" w:rsidP="005A03D9">
      <w:pPr>
        <w:pStyle w:val="paragraph"/>
      </w:pPr>
      <w:r w:rsidRPr="00D525A4">
        <w:tab/>
        <w:t>(</w:t>
      </w:r>
      <w:r w:rsidR="00F2459E" w:rsidRPr="00D525A4">
        <w:t>a</w:t>
      </w:r>
      <w:r w:rsidRPr="00D525A4">
        <w:t>)</w:t>
      </w:r>
      <w:r w:rsidRPr="00D525A4">
        <w:tab/>
        <w:t xml:space="preserve">a description of the </w:t>
      </w:r>
      <w:r w:rsidR="004B0A28" w:rsidRPr="00D525A4">
        <w:t>circumstance</w:t>
      </w:r>
      <w:r w:rsidRPr="00D525A4">
        <w:t>s in paragraphs 41(1)(a)</w:t>
      </w:r>
      <w:r w:rsidR="004B0A28" w:rsidRPr="00D525A4">
        <w:t xml:space="preserve"> to </w:t>
      </w:r>
      <w:r w:rsidRPr="00D525A4">
        <w:t xml:space="preserve">(c) of the Act </w:t>
      </w:r>
      <w:r w:rsidR="0095494B" w:rsidRPr="00D525A4">
        <w:t>that</w:t>
      </w:r>
      <w:r w:rsidRPr="00D525A4">
        <w:t xml:space="preserve"> apply to the matter;</w:t>
      </w:r>
    </w:p>
    <w:p w14:paraId="68CC9843" w14:textId="33C4A3AD" w:rsidR="004B0A28" w:rsidRPr="00D525A4" w:rsidRDefault="004B0A28" w:rsidP="002D2F4B">
      <w:pPr>
        <w:pStyle w:val="paragraph"/>
      </w:pPr>
      <w:r w:rsidRPr="00D525A4">
        <w:tab/>
        <w:t>(</w:t>
      </w:r>
      <w:r w:rsidR="00F2459E" w:rsidRPr="00D525A4">
        <w:t>b</w:t>
      </w:r>
      <w:r w:rsidRPr="00D525A4">
        <w:t>)</w:t>
      </w:r>
      <w:r w:rsidRPr="00D525A4">
        <w:tab/>
        <w:t>a description of the conditions in paragraphs 41(1)(d) to (j) of the Act that are satisfied in respect of the matter;</w:t>
      </w:r>
    </w:p>
    <w:p w14:paraId="37605CAE" w14:textId="4DB1202E" w:rsidR="004C6F14" w:rsidRPr="00D525A4" w:rsidRDefault="00F56A20" w:rsidP="00FE444B">
      <w:pPr>
        <w:pStyle w:val="paragraph"/>
      </w:pPr>
      <w:r w:rsidRPr="00D525A4">
        <w:tab/>
        <w:t>(</w:t>
      </w:r>
      <w:r w:rsidR="00F2459E" w:rsidRPr="00D525A4">
        <w:t>c</w:t>
      </w:r>
      <w:r w:rsidRPr="00D525A4">
        <w:t>)</w:t>
      </w:r>
      <w:r w:rsidRPr="00D525A4">
        <w:tab/>
      </w:r>
      <w:r w:rsidR="00985E36" w:rsidRPr="00D525A4">
        <w:t>the date</w:t>
      </w:r>
      <w:r w:rsidR="004C6F14" w:rsidRPr="00D525A4">
        <w:t xml:space="preserve"> </w:t>
      </w:r>
      <w:r w:rsidR="00DC18B9" w:rsidRPr="00D525A4">
        <w:t xml:space="preserve">any of the following </w:t>
      </w:r>
      <w:r w:rsidR="00694D99" w:rsidRPr="00D525A4">
        <w:t xml:space="preserve">circumstances </w:t>
      </w:r>
      <w:r w:rsidR="00DC18B9" w:rsidRPr="00D525A4">
        <w:t>occurred in relation to the matter:</w:t>
      </w:r>
    </w:p>
    <w:p w14:paraId="39AC0694" w14:textId="3A80895B" w:rsidR="00DC18B9" w:rsidRPr="00D525A4" w:rsidRDefault="00DC18B9" w:rsidP="00DC18B9">
      <w:pPr>
        <w:pStyle w:val="paragraphsub"/>
      </w:pPr>
      <w:r w:rsidRPr="00D525A4">
        <w:tab/>
        <w:t>(i)</w:t>
      </w:r>
      <w:r w:rsidRPr="00D525A4">
        <w:tab/>
      </w:r>
      <w:r w:rsidR="00694D99" w:rsidRPr="00D525A4">
        <w:t xml:space="preserve">if </w:t>
      </w:r>
      <w:r w:rsidR="005C5E95" w:rsidRPr="00D525A4">
        <w:t>paragraph 4</w:t>
      </w:r>
      <w:r w:rsidR="00694D99" w:rsidRPr="00D525A4">
        <w:t>1(1)(a) of the Act applies in relation to the matter—</w:t>
      </w:r>
      <w:r w:rsidRPr="00D525A4">
        <w:t>the reporting entity commenced to provide</w:t>
      </w:r>
      <w:r w:rsidR="00694D99" w:rsidRPr="00D525A4">
        <w:t>, or proposed to provide,</w:t>
      </w:r>
      <w:r w:rsidRPr="00D525A4">
        <w:t xml:space="preserve"> the designated service to the first person;</w:t>
      </w:r>
    </w:p>
    <w:p w14:paraId="7723147D" w14:textId="69C345B5" w:rsidR="00DC18B9" w:rsidRPr="00D525A4" w:rsidRDefault="00DC18B9" w:rsidP="00DC18B9">
      <w:pPr>
        <w:pStyle w:val="paragraphsub"/>
      </w:pPr>
      <w:r w:rsidRPr="00D525A4">
        <w:tab/>
        <w:t>(ii)</w:t>
      </w:r>
      <w:r w:rsidRPr="00D525A4">
        <w:tab/>
      </w:r>
      <w:r w:rsidR="00694D99" w:rsidRPr="00D525A4">
        <w:t xml:space="preserve">if </w:t>
      </w:r>
      <w:r w:rsidR="005C5E95" w:rsidRPr="00D525A4">
        <w:t>paragraph 4</w:t>
      </w:r>
      <w:r w:rsidR="00694D99" w:rsidRPr="00D525A4">
        <w:t xml:space="preserve">1(1)(b) </w:t>
      </w:r>
      <w:r w:rsidR="00BB15CA" w:rsidRPr="00D525A4">
        <w:t xml:space="preserve">of the Act </w:t>
      </w:r>
      <w:r w:rsidR="00694D99" w:rsidRPr="00D525A4">
        <w:t>applies in relation to the matter—</w:t>
      </w:r>
      <w:r w:rsidRPr="00D525A4">
        <w:t xml:space="preserve">the </w:t>
      </w:r>
      <w:r w:rsidR="00753326" w:rsidRPr="00D525A4">
        <w:t xml:space="preserve">first person requested the reporting entity to provide </w:t>
      </w:r>
      <w:r w:rsidR="00694D99" w:rsidRPr="00D525A4">
        <w:t>the</w:t>
      </w:r>
      <w:r w:rsidR="00753326" w:rsidRPr="00D525A4">
        <w:t xml:space="preserve"> designated service to the first person;</w:t>
      </w:r>
    </w:p>
    <w:p w14:paraId="16E7AE37" w14:textId="19092210" w:rsidR="00753326" w:rsidRPr="00D525A4" w:rsidRDefault="00753326" w:rsidP="00DC18B9">
      <w:pPr>
        <w:pStyle w:val="paragraphsub"/>
      </w:pPr>
      <w:r w:rsidRPr="00D525A4">
        <w:tab/>
        <w:t>(i</w:t>
      </w:r>
      <w:r w:rsidR="00694D99" w:rsidRPr="00D525A4">
        <w:t>ii</w:t>
      </w:r>
      <w:r w:rsidRPr="00D525A4">
        <w:t>)</w:t>
      </w:r>
      <w:r w:rsidRPr="00D525A4">
        <w:tab/>
      </w:r>
      <w:r w:rsidR="00694D99" w:rsidRPr="00D525A4">
        <w:t xml:space="preserve">if </w:t>
      </w:r>
      <w:r w:rsidR="005C5E95" w:rsidRPr="00D525A4">
        <w:t>paragraph 4</w:t>
      </w:r>
      <w:r w:rsidR="00694D99" w:rsidRPr="00D525A4">
        <w:t>1(1)(c)</w:t>
      </w:r>
      <w:r w:rsidR="00AD6C1C" w:rsidRPr="00D525A4">
        <w:t xml:space="preserve"> of the Act</w:t>
      </w:r>
      <w:r w:rsidR="00694D99" w:rsidRPr="00D525A4">
        <w:t xml:space="preserve"> applies in relation to the matter—</w:t>
      </w:r>
      <w:r w:rsidRPr="00D525A4">
        <w:t xml:space="preserve">the first person inquired of the reporting entity whether the reporting entity would be willing or prepared to provide </w:t>
      </w:r>
      <w:r w:rsidR="00694D99" w:rsidRPr="00D525A4">
        <w:t>the</w:t>
      </w:r>
      <w:r w:rsidRPr="00D525A4">
        <w:t xml:space="preserve"> designated service to the first person</w:t>
      </w:r>
      <w:r w:rsidR="00502AD3" w:rsidRPr="00D525A4">
        <w:t>;</w:t>
      </w:r>
    </w:p>
    <w:p w14:paraId="7F580C7B" w14:textId="73A6577F" w:rsidR="00961C50" w:rsidRPr="00D525A4" w:rsidRDefault="002D2F4B" w:rsidP="00961C50">
      <w:pPr>
        <w:pStyle w:val="paragraph"/>
      </w:pPr>
      <w:r w:rsidRPr="00D525A4">
        <w:tab/>
        <w:t>(</w:t>
      </w:r>
      <w:r w:rsidR="00F2459E" w:rsidRPr="00D525A4">
        <w:t>d</w:t>
      </w:r>
      <w:r w:rsidRPr="00D525A4">
        <w:t>)</w:t>
      </w:r>
      <w:r w:rsidRPr="00D525A4">
        <w:tab/>
        <w:t xml:space="preserve">if the conditions in </w:t>
      </w:r>
      <w:r w:rsidR="00FE1FDA" w:rsidRPr="00D525A4">
        <w:t>sub</w:t>
      </w:r>
      <w:r w:rsidR="005C5E95" w:rsidRPr="00D525A4">
        <w:t>paragraph 4</w:t>
      </w:r>
      <w:r w:rsidRPr="00D525A4">
        <w:t>1(1)(f)(iii) of the Act are satisfied in respect of the matter—information on the offence against a law of the Commonwealth or of a State or Territory</w:t>
      </w:r>
      <w:r w:rsidR="007269E5" w:rsidRPr="00D525A4">
        <w:t xml:space="preserve"> that is relevant to the matter</w:t>
      </w:r>
      <w:r w:rsidRPr="00D525A4">
        <w:t>;</w:t>
      </w:r>
    </w:p>
    <w:p w14:paraId="103C4E3C" w14:textId="4D53B26E" w:rsidR="007269E5" w:rsidRPr="00D525A4" w:rsidRDefault="00F2459E" w:rsidP="001E7057">
      <w:pPr>
        <w:pStyle w:val="paragraph"/>
      </w:pPr>
      <w:r w:rsidRPr="00D525A4">
        <w:tab/>
        <w:t>(e)</w:t>
      </w:r>
      <w:r w:rsidRPr="00D525A4">
        <w:tab/>
      </w:r>
      <w:r w:rsidR="004977B4" w:rsidRPr="00D525A4">
        <w:t xml:space="preserve">any </w:t>
      </w:r>
      <w:r w:rsidRPr="00D525A4">
        <w:t>address</w:t>
      </w:r>
      <w:r w:rsidR="004977B4" w:rsidRPr="00D525A4">
        <w:t>es or</w:t>
      </w:r>
      <w:r w:rsidRPr="00D525A4">
        <w:t xml:space="preserve"> locations that are relevant to the matter;</w:t>
      </w:r>
    </w:p>
    <w:p w14:paraId="64A8A81E" w14:textId="711BA348" w:rsidR="00520F4E" w:rsidRPr="00D525A4" w:rsidRDefault="006D21BA" w:rsidP="007269E5">
      <w:pPr>
        <w:pStyle w:val="paragraph"/>
      </w:pPr>
      <w:r w:rsidRPr="00D525A4">
        <w:tab/>
        <w:t>(</w:t>
      </w:r>
      <w:r w:rsidR="00961C50" w:rsidRPr="00D525A4">
        <w:t>f</w:t>
      </w:r>
      <w:r w:rsidRPr="00D525A4">
        <w:t>)</w:t>
      </w:r>
      <w:r w:rsidRPr="00D525A4">
        <w:tab/>
        <w:t xml:space="preserve">the reporting entity’s reference number relating to the provision or </w:t>
      </w:r>
      <w:r w:rsidR="002356A6" w:rsidRPr="00D525A4">
        <w:t>proposed</w:t>
      </w:r>
      <w:r w:rsidRPr="00D525A4">
        <w:t xml:space="preserve"> provision of the designated service to which the matter relates.</w:t>
      </w:r>
    </w:p>
    <w:p w14:paraId="0003B0BB" w14:textId="5820A6CF" w:rsidR="00961C50" w:rsidRPr="00D525A4" w:rsidRDefault="00961C50" w:rsidP="00961C50">
      <w:pPr>
        <w:pStyle w:val="SubsectionHead"/>
      </w:pPr>
      <w:r w:rsidRPr="00D525A4">
        <w:t>Information about designated service</w:t>
      </w:r>
      <w:r w:rsidR="00DD3FA5" w:rsidRPr="00D525A4">
        <w:t>s</w:t>
      </w:r>
    </w:p>
    <w:p w14:paraId="000D02BE" w14:textId="47DECCF5" w:rsidR="007E69DA" w:rsidRPr="00D525A4" w:rsidRDefault="00961C50" w:rsidP="00F77634">
      <w:pPr>
        <w:pStyle w:val="subsection"/>
      </w:pPr>
      <w:r w:rsidRPr="00D525A4">
        <w:tab/>
        <w:t>(2)</w:t>
      </w:r>
      <w:r w:rsidRPr="00D525A4">
        <w:tab/>
        <w:t xml:space="preserve">The report must contain </w:t>
      </w:r>
      <w:r w:rsidR="001252C5" w:rsidRPr="00D525A4">
        <w:t>a description of</w:t>
      </w:r>
      <w:r w:rsidRPr="00D525A4">
        <w:t xml:space="preserve"> </w:t>
      </w:r>
      <w:r w:rsidR="000D43DB" w:rsidRPr="00D525A4">
        <w:t>each</w:t>
      </w:r>
      <w:r w:rsidRPr="00D525A4">
        <w:t xml:space="preserve"> designated service</w:t>
      </w:r>
      <w:r w:rsidR="00DD3FA5" w:rsidRPr="00D525A4">
        <w:t xml:space="preserve"> that relate</w:t>
      </w:r>
      <w:r w:rsidR="000D43DB" w:rsidRPr="00D525A4">
        <w:t>s</w:t>
      </w:r>
      <w:r w:rsidR="00DD3FA5" w:rsidRPr="00D525A4">
        <w:t xml:space="preserve"> to the matter</w:t>
      </w:r>
      <w:r w:rsidR="001252C5" w:rsidRPr="00D525A4">
        <w:t>.</w:t>
      </w:r>
    </w:p>
    <w:p w14:paraId="65DCEE72" w14:textId="77777777" w:rsidR="00FD1F0A" w:rsidRPr="00D525A4" w:rsidRDefault="00FD1F0A" w:rsidP="00FD1F0A">
      <w:pPr>
        <w:pStyle w:val="SubsectionHead"/>
      </w:pPr>
      <w:r w:rsidRPr="00D525A4">
        <w:t>Information about an account</w:t>
      </w:r>
    </w:p>
    <w:p w14:paraId="67B479B5" w14:textId="3701C662" w:rsidR="00FD1F0A" w:rsidRPr="00D525A4" w:rsidRDefault="00FD1F0A" w:rsidP="00FD1F0A">
      <w:pPr>
        <w:pStyle w:val="subsection"/>
      </w:pPr>
      <w:r w:rsidRPr="00D525A4">
        <w:tab/>
        <w:t>(</w:t>
      </w:r>
      <w:r w:rsidR="00F97505" w:rsidRPr="00D525A4">
        <w:t>3</w:t>
      </w:r>
      <w:r w:rsidRPr="00D525A4">
        <w:t>)</w:t>
      </w:r>
      <w:r w:rsidRPr="00D525A4">
        <w:tab/>
        <w:t>If the matter involves an account provided by the reporting entity or another person, the report must contain the following information about the account (as applicable and to the extent that the information is known):</w:t>
      </w:r>
    </w:p>
    <w:p w14:paraId="44D13714" w14:textId="3BDE93EB" w:rsidR="00F17566" w:rsidRPr="00D525A4" w:rsidRDefault="00F17566" w:rsidP="00F17566">
      <w:pPr>
        <w:pStyle w:val="paragraph"/>
      </w:pPr>
      <w:r w:rsidRPr="00D525A4">
        <w:tab/>
        <w:t>(a)</w:t>
      </w:r>
      <w:r w:rsidRPr="00D525A4">
        <w:tab/>
        <w:t xml:space="preserve">the </w:t>
      </w:r>
      <w:r w:rsidR="00B64841" w:rsidRPr="00D525A4">
        <w:t>full</w:t>
      </w:r>
      <w:r w:rsidR="000002BC" w:rsidRPr="00D525A4">
        <w:t xml:space="preserve"> </w:t>
      </w:r>
      <w:r w:rsidRPr="00D525A4">
        <w:t>name of the person providing the account;</w:t>
      </w:r>
    </w:p>
    <w:p w14:paraId="11ADFCFB" w14:textId="0EB5DECE" w:rsidR="00FD1F0A" w:rsidRPr="00D525A4" w:rsidRDefault="00FD1F0A" w:rsidP="00FD1F0A">
      <w:pPr>
        <w:pStyle w:val="paragraph"/>
      </w:pPr>
      <w:r w:rsidRPr="00D525A4">
        <w:lastRenderedPageBreak/>
        <w:tab/>
        <w:t>(</w:t>
      </w:r>
      <w:r w:rsidR="00F17566" w:rsidRPr="00D525A4">
        <w:t>b</w:t>
      </w:r>
      <w:r w:rsidRPr="00D525A4">
        <w:t>)</w:t>
      </w:r>
      <w:r w:rsidRPr="00D525A4">
        <w:tab/>
        <w:t xml:space="preserve">the </w:t>
      </w:r>
      <w:r w:rsidR="00AD6561" w:rsidRPr="00D525A4">
        <w:t xml:space="preserve">full </w:t>
      </w:r>
      <w:r w:rsidRPr="00D525A4">
        <w:t xml:space="preserve">name </w:t>
      </w:r>
      <w:r w:rsidR="00F77634" w:rsidRPr="00D525A4">
        <w:t>of each</w:t>
      </w:r>
      <w:r w:rsidRPr="00D525A4">
        <w:t xml:space="preserve"> </w:t>
      </w:r>
      <w:r w:rsidR="00F77634" w:rsidRPr="00D525A4">
        <w:t>account holder</w:t>
      </w:r>
      <w:r w:rsidRPr="00D525A4">
        <w:t>;</w:t>
      </w:r>
    </w:p>
    <w:p w14:paraId="5ACEF60F" w14:textId="75C963A4" w:rsidR="00FD1F0A" w:rsidRPr="00D525A4" w:rsidRDefault="00FD1F0A" w:rsidP="00FD1F0A">
      <w:pPr>
        <w:pStyle w:val="paragraph"/>
      </w:pPr>
      <w:r w:rsidRPr="00D525A4">
        <w:tab/>
        <w:t>(</w:t>
      </w:r>
      <w:r w:rsidR="00F17566" w:rsidRPr="00D525A4">
        <w:t>c</w:t>
      </w:r>
      <w:r w:rsidRPr="00D525A4">
        <w:t>)</w:t>
      </w:r>
      <w:r w:rsidRPr="00D525A4">
        <w:tab/>
        <w:t xml:space="preserve">the </w:t>
      </w:r>
      <w:r w:rsidR="00E74174" w:rsidRPr="00D525A4">
        <w:t>kind</w:t>
      </w:r>
      <w:r w:rsidRPr="00D525A4">
        <w:t xml:space="preserve"> of account (such as a savings account, loan account or credit card account);</w:t>
      </w:r>
    </w:p>
    <w:p w14:paraId="2B3F4E5C" w14:textId="67AC270B" w:rsidR="00595D33" w:rsidRPr="00D525A4" w:rsidRDefault="00FD1F0A" w:rsidP="00F77634">
      <w:pPr>
        <w:pStyle w:val="paragraph"/>
      </w:pPr>
      <w:r w:rsidRPr="00D525A4">
        <w:tab/>
        <w:t>(</w:t>
      </w:r>
      <w:r w:rsidR="00F17566" w:rsidRPr="00D525A4">
        <w:t>d</w:t>
      </w:r>
      <w:r w:rsidRPr="00D525A4">
        <w:t>)</w:t>
      </w:r>
      <w:r w:rsidRPr="00D525A4">
        <w:tab/>
        <w:t>the unique</w:t>
      </w:r>
      <w:r w:rsidR="007D4DE3" w:rsidRPr="00D525A4">
        <w:t xml:space="preserve"> identif</w:t>
      </w:r>
      <w:r w:rsidR="0055602F" w:rsidRPr="00D525A4">
        <w:t>ication</w:t>
      </w:r>
      <w:r w:rsidR="00BD080C" w:rsidRPr="00D525A4">
        <w:t xml:space="preserve"> </w:t>
      </w:r>
      <w:r w:rsidR="005F5D9F" w:rsidRPr="00D525A4">
        <w:t>details</w:t>
      </w:r>
      <w:r w:rsidRPr="00D525A4">
        <w:t xml:space="preserve"> assigned to the account (such as the BSB and account number);</w:t>
      </w:r>
    </w:p>
    <w:p w14:paraId="517DCB80" w14:textId="647C99B4" w:rsidR="00FD1F0A" w:rsidRPr="00D525A4" w:rsidRDefault="00FD1F0A" w:rsidP="00FD1F0A">
      <w:pPr>
        <w:pStyle w:val="paragraph"/>
      </w:pPr>
      <w:r w:rsidRPr="00D525A4">
        <w:tab/>
        <w:t>(</w:t>
      </w:r>
      <w:r w:rsidR="00F17566" w:rsidRPr="00D525A4">
        <w:t>e</w:t>
      </w:r>
      <w:r w:rsidRPr="00D525A4">
        <w:t>)</w:t>
      </w:r>
      <w:r w:rsidRPr="00D525A4">
        <w:tab/>
        <w:t xml:space="preserve">the </w:t>
      </w:r>
      <w:r w:rsidR="006553A7" w:rsidRPr="00D525A4">
        <w:t xml:space="preserve">full </w:t>
      </w:r>
      <w:r w:rsidRPr="00D525A4">
        <w:t xml:space="preserve">name of </w:t>
      </w:r>
      <w:r w:rsidR="00AD6561" w:rsidRPr="00D525A4">
        <w:t>each</w:t>
      </w:r>
      <w:r w:rsidRPr="00D525A4">
        <w:t xml:space="preserve"> signator</w:t>
      </w:r>
      <w:r w:rsidR="00AD6561" w:rsidRPr="00D525A4">
        <w:t>y</w:t>
      </w:r>
      <w:r w:rsidRPr="00D525A4">
        <w:t xml:space="preserve"> to the account;</w:t>
      </w:r>
    </w:p>
    <w:p w14:paraId="61F4C7A3" w14:textId="5EE848BF" w:rsidR="00FD1F0A" w:rsidRPr="00D525A4" w:rsidRDefault="00FD1F0A" w:rsidP="00FD1F0A">
      <w:pPr>
        <w:pStyle w:val="paragraph"/>
      </w:pPr>
      <w:r w:rsidRPr="00D525A4">
        <w:tab/>
        <w:t>(</w:t>
      </w:r>
      <w:r w:rsidR="00F17566" w:rsidRPr="00D525A4">
        <w:t>f</w:t>
      </w:r>
      <w:r w:rsidRPr="00D525A4">
        <w:t>)</w:t>
      </w:r>
      <w:r w:rsidRPr="00D525A4">
        <w:tab/>
        <w:t>the date the account was opened;</w:t>
      </w:r>
    </w:p>
    <w:p w14:paraId="142A61DF" w14:textId="4B219C31" w:rsidR="006553A7" w:rsidRPr="00D525A4" w:rsidRDefault="00FD1F0A" w:rsidP="00FD1F0A">
      <w:pPr>
        <w:pStyle w:val="paragraph"/>
      </w:pPr>
      <w:r w:rsidRPr="00D525A4">
        <w:tab/>
        <w:t>(</w:t>
      </w:r>
      <w:r w:rsidR="00F17566" w:rsidRPr="00D525A4">
        <w:t>g</w:t>
      </w:r>
      <w:r w:rsidRPr="00D525A4">
        <w:t>)</w:t>
      </w:r>
      <w:r w:rsidRPr="00D525A4">
        <w:tab/>
        <w:t>the balance of the account on dates relevant to the matter</w:t>
      </w:r>
      <w:r w:rsidR="006553A7" w:rsidRPr="00D525A4">
        <w:t>.</w:t>
      </w:r>
    </w:p>
    <w:p w14:paraId="62B301F4" w14:textId="60F48BAE" w:rsidR="00E07BD2" w:rsidRPr="00D525A4" w:rsidRDefault="00E07BD2" w:rsidP="00FD1F0A">
      <w:pPr>
        <w:pStyle w:val="SubsectionHead"/>
      </w:pPr>
      <w:r w:rsidRPr="00D525A4">
        <w:t>Information about</w:t>
      </w:r>
      <w:r w:rsidR="009F6685" w:rsidRPr="00D525A4">
        <w:t xml:space="preserve"> </w:t>
      </w:r>
      <w:r w:rsidR="009D563C" w:rsidRPr="00D525A4">
        <w:t>transactions</w:t>
      </w:r>
    </w:p>
    <w:p w14:paraId="7BB0E3B5" w14:textId="373E5772" w:rsidR="002A5F01" w:rsidRPr="00D525A4" w:rsidRDefault="002A5F01" w:rsidP="002A5F01">
      <w:pPr>
        <w:pStyle w:val="subsection"/>
      </w:pPr>
      <w:r w:rsidRPr="00D525A4">
        <w:tab/>
        <w:t>(</w:t>
      </w:r>
      <w:r w:rsidR="008E4E35" w:rsidRPr="00D525A4">
        <w:t>4</w:t>
      </w:r>
      <w:r w:rsidRPr="00D525A4">
        <w:t>)</w:t>
      </w:r>
      <w:r w:rsidRPr="00D525A4">
        <w:tab/>
        <w:t>If the matter involve</w:t>
      </w:r>
      <w:r w:rsidR="009D563C" w:rsidRPr="00D525A4">
        <w:t>s transaction</w:t>
      </w:r>
      <w:r w:rsidR="004F59B9" w:rsidRPr="00D525A4">
        <w:t>s</w:t>
      </w:r>
      <w:r w:rsidR="008E4E35" w:rsidRPr="00D525A4">
        <w:t>, the report must contain the following information</w:t>
      </w:r>
      <w:r w:rsidR="009D563C" w:rsidRPr="00D525A4">
        <w:t xml:space="preserve"> </w:t>
      </w:r>
      <w:r w:rsidR="004F59B9" w:rsidRPr="00D525A4">
        <w:t>about each</w:t>
      </w:r>
      <w:r w:rsidR="009D563C" w:rsidRPr="00D525A4">
        <w:t xml:space="preserve"> transaction</w:t>
      </w:r>
      <w:r w:rsidR="00306257" w:rsidRPr="00D525A4">
        <w:t xml:space="preserve"> (as applicable and to the extent that the information is known)</w:t>
      </w:r>
      <w:r w:rsidR="008E4E35" w:rsidRPr="00D525A4">
        <w:t>:</w:t>
      </w:r>
    </w:p>
    <w:p w14:paraId="67B7E6EB" w14:textId="4D205636" w:rsidR="009D563C" w:rsidRPr="00D525A4" w:rsidRDefault="009D563C" w:rsidP="009D563C">
      <w:pPr>
        <w:pStyle w:val="paragraph"/>
      </w:pPr>
      <w:r w:rsidRPr="00D525A4">
        <w:tab/>
        <w:t>(a)</w:t>
      </w:r>
      <w:r w:rsidRPr="00D525A4">
        <w:tab/>
        <w:t>a description of the transaction;</w:t>
      </w:r>
    </w:p>
    <w:p w14:paraId="263C0948" w14:textId="2AFF5662" w:rsidR="009D563C" w:rsidRPr="00D525A4" w:rsidRDefault="009D563C" w:rsidP="009D563C">
      <w:pPr>
        <w:pStyle w:val="paragraph"/>
      </w:pPr>
      <w:r w:rsidRPr="00D525A4">
        <w:tab/>
        <w:t>(b)</w:t>
      </w:r>
      <w:r w:rsidRPr="00D525A4">
        <w:tab/>
        <w:t xml:space="preserve">the value </w:t>
      </w:r>
      <w:r w:rsidR="004F59B9" w:rsidRPr="00D525A4">
        <w:t>associated with</w:t>
      </w:r>
      <w:r w:rsidRPr="00D525A4">
        <w:t xml:space="preserve"> the transaction</w:t>
      </w:r>
      <w:r w:rsidR="00180EF4" w:rsidRPr="00D525A4">
        <w:t xml:space="preserve"> (in Australian dollars or a foreign currency as appropriate)</w:t>
      </w:r>
      <w:r w:rsidRPr="00D525A4">
        <w:t>;</w:t>
      </w:r>
    </w:p>
    <w:p w14:paraId="1F891CBC" w14:textId="0492F44B" w:rsidR="000D7990" w:rsidRPr="00D525A4" w:rsidRDefault="000D7990" w:rsidP="009D563C">
      <w:pPr>
        <w:pStyle w:val="paragraph"/>
      </w:pPr>
      <w:r w:rsidRPr="00D525A4">
        <w:tab/>
        <w:t>(c)</w:t>
      </w:r>
      <w:r w:rsidRPr="00D525A4">
        <w:tab/>
        <w:t xml:space="preserve">if the transaction involved foreign currency—the </w:t>
      </w:r>
      <w:r w:rsidR="00E74174" w:rsidRPr="00D525A4">
        <w:t>kind</w:t>
      </w:r>
      <w:r w:rsidRPr="00D525A4">
        <w:t xml:space="preserve"> and amount of the foreign currency involved and the exchange rate used;</w:t>
      </w:r>
    </w:p>
    <w:p w14:paraId="21B215E9" w14:textId="77777777" w:rsidR="00391682" w:rsidRPr="00D525A4" w:rsidRDefault="009D563C" w:rsidP="00224473">
      <w:pPr>
        <w:pStyle w:val="paragraph"/>
      </w:pPr>
      <w:r w:rsidRPr="00D525A4">
        <w:tab/>
        <w:t>(</w:t>
      </w:r>
      <w:r w:rsidR="00224473" w:rsidRPr="00D525A4">
        <w:t>d</w:t>
      </w:r>
      <w:r w:rsidRPr="00D525A4">
        <w:t>)</w:t>
      </w:r>
      <w:r w:rsidRPr="00D525A4">
        <w:tab/>
      </w:r>
      <w:r w:rsidR="00391682" w:rsidRPr="00D525A4">
        <w:t>if the transaction involves products or instruments—the following information:</w:t>
      </w:r>
    </w:p>
    <w:p w14:paraId="3F156952" w14:textId="14923168" w:rsidR="00391682" w:rsidRPr="00D525A4" w:rsidRDefault="00391682" w:rsidP="00391682">
      <w:pPr>
        <w:pStyle w:val="paragraphsub"/>
      </w:pPr>
      <w:r w:rsidRPr="00D525A4">
        <w:tab/>
        <w:t>(i)</w:t>
      </w:r>
      <w:r w:rsidRPr="00D525A4">
        <w:tab/>
      </w:r>
      <w:r w:rsidR="006553A7" w:rsidRPr="00D525A4">
        <w:t xml:space="preserve">a </w:t>
      </w:r>
      <w:r w:rsidR="002C115E" w:rsidRPr="00D525A4">
        <w:t>description of the products</w:t>
      </w:r>
      <w:r w:rsidRPr="00D525A4">
        <w:t xml:space="preserve"> </w:t>
      </w:r>
      <w:r w:rsidR="002C115E" w:rsidRPr="00D525A4">
        <w:t>or instruments</w:t>
      </w:r>
      <w:r w:rsidRPr="00D525A4">
        <w:t>;</w:t>
      </w:r>
    </w:p>
    <w:p w14:paraId="592FF1C7" w14:textId="4FA977E7" w:rsidR="00391682" w:rsidRPr="00D525A4" w:rsidRDefault="00391682" w:rsidP="00391682">
      <w:pPr>
        <w:pStyle w:val="paragraphsub"/>
      </w:pPr>
      <w:r w:rsidRPr="00D525A4">
        <w:tab/>
        <w:t>(ii)</w:t>
      </w:r>
      <w:r w:rsidRPr="00D525A4">
        <w:tab/>
        <w:t>the value of the products o</w:t>
      </w:r>
      <w:r w:rsidR="00AA2187" w:rsidRPr="00D525A4">
        <w:t>r</w:t>
      </w:r>
      <w:r w:rsidRPr="00D525A4">
        <w:t xml:space="preserve"> instruments</w:t>
      </w:r>
      <w:r w:rsidR="00396AE2" w:rsidRPr="00D525A4">
        <w:t xml:space="preserve"> (in Australian dollars or a foreign currency as appropriate)</w:t>
      </w:r>
      <w:r w:rsidRPr="00D525A4">
        <w:t>;</w:t>
      </w:r>
    </w:p>
    <w:p w14:paraId="29B15271" w14:textId="09D8A305" w:rsidR="002C115E" w:rsidRPr="00D525A4" w:rsidRDefault="00391682" w:rsidP="00391682">
      <w:pPr>
        <w:pStyle w:val="paragraphsub"/>
      </w:pPr>
      <w:r w:rsidRPr="00D525A4">
        <w:tab/>
        <w:t>(iii)</w:t>
      </w:r>
      <w:r w:rsidRPr="00D525A4">
        <w:tab/>
      </w:r>
      <w:r w:rsidR="002C115E" w:rsidRPr="00D525A4">
        <w:t xml:space="preserve">the </w:t>
      </w:r>
      <w:r w:rsidR="00B64841" w:rsidRPr="00D525A4">
        <w:t>full</w:t>
      </w:r>
      <w:r w:rsidR="000002BC" w:rsidRPr="00D525A4">
        <w:t xml:space="preserve"> </w:t>
      </w:r>
      <w:r w:rsidR="002C115E" w:rsidRPr="00D525A4">
        <w:t>name of the payer</w:t>
      </w:r>
      <w:r w:rsidRPr="00D525A4">
        <w:t xml:space="preserve"> </w:t>
      </w:r>
      <w:r w:rsidR="002F020F" w:rsidRPr="00D525A4">
        <w:t xml:space="preserve">or transferor </w:t>
      </w:r>
      <w:r w:rsidRPr="00D525A4">
        <w:t>of the products or instruments</w:t>
      </w:r>
      <w:r w:rsidR="002C115E" w:rsidRPr="00D525A4">
        <w:t>;</w:t>
      </w:r>
    </w:p>
    <w:p w14:paraId="1DDC11EA" w14:textId="4FA54F41" w:rsidR="0080258F" w:rsidRPr="00D525A4" w:rsidRDefault="000E734B" w:rsidP="003B5447">
      <w:pPr>
        <w:pStyle w:val="paragraphsub"/>
      </w:pPr>
      <w:r w:rsidRPr="00D525A4">
        <w:tab/>
        <w:t>(vi)</w:t>
      </w:r>
      <w:r w:rsidRPr="00D525A4">
        <w:tab/>
        <w:t>where the issuer of the products or instruments is not the reporting entity—</w:t>
      </w:r>
      <w:r w:rsidR="003B5447" w:rsidRPr="00D525A4">
        <w:t xml:space="preserve">the </w:t>
      </w:r>
      <w:r w:rsidR="00AC4A7B" w:rsidRPr="00D525A4">
        <w:t xml:space="preserve">full name of the issuer and the </w:t>
      </w:r>
      <w:r w:rsidR="00396AE2" w:rsidRPr="00D525A4">
        <w:t>address or location</w:t>
      </w:r>
      <w:r w:rsidR="00AC4A7B" w:rsidRPr="00D525A4">
        <w:t xml:space="preserve"> where the product</w:t>
      </w:r>
      <w:r w:rsidR="00A47A8D" w:rsidRPr="00D525A4">
        <w:t>s</w:t>
      </w:r>
      <w:r w:rsidR="00AC4A7B" w:rsidRPr="00D525A4">
        <w:t xml:space="preserve"> or instrument</w:t>
      </w:r>
      <w:r w:rsidR="00A47A8D" w:rsidRPr="00D525A4">
        <w:t>s</w:t>
      </w:r>
      <w:r w:rsidR="00AC4A7B" w:rsidRPr="00D525A4">
        <w:t xml:space="preserve"> w</w:t>
      </w:r>
      <w:r w:rsidR="00A47A8D" w:rsidRPr="00D525A4">
        <w:t>ere</w:t>
      </w:r>
      <w:r w:rsidR="00AC4A7B" w:rsidRPr="00D525A4">
        <w:t xml:space="preserve"> issued</w:t>
      </w:r>
      <w:r w:rsidR="008C3F79" w:rsidRPr="00D525A4">
        <w:t>;</w:t>
      </w:r>
    </w:p>
    <w:p w14:paraId="643506DF" w14:textId="66C87191" w:rsidR="002C115E" w:rsidRPr="00D525A4" w:rsidRDefault="002C115E" w:rsidP="002C115E">
      <w:pPr>
        <w:pStyle w:val="paragraph"/>
      </w:pPr>
      <w:r w:rsidRPr="00D525A4">
        <w:tab/>
        <w:t>(</w:t>
      </w:r>
      <w:r w:rsidR="00391682" w:rsidRPr="00D525A4">
        <w:t>e</w:t>
      </w:r>
      <w:r w:rsidRPr="00D525A4">
        <w:t>)</w:t>
      </w:r>
      <w:r w:rsidRPr="00D525A4">
        <w:tab/>
        <w:t xml:space="preserve">the </w:t>
      </w:r>
      <w:r w:rsidR="000002BC" w:rsidRPr="00D525A4">
        <w:t xml:space="preserve">full </w:t>
      </w:r>
      <w:r w:rsidRPr="00D525A4">
        <w:t>name of the payee</w:t>
      </w:r>
      <w:r w:rsidR="002F020F" w:rsidRPr="00D525A4">
        <w:t xml:space="preserve"> or transferee</w:t>
      </w:r>
      <w:r w:rsidRPr="00D525A4">
        <w:t>;</w:t>
      </w:r>
    </w:p>
    <w:p w14:paraId="036853CB" w14:textId="71843970" w:rsidR="00B65247" w:rsidRPr="00D525A4" w:rsidRDefault="001252C5" w:rsidP="00BE0F18">
      <w:pPr>
        <w:pStyle w:val="paragraph"/>
      </w:pPr>
      <w:r w:rsidRPr="00D525A4">
        <w:tab/>
        <w:t>(</w:t>
      </w:r>
      <w:r w:rsidR="00391682" w:rsidRPr="00D525A4">
        <w:t>f</w:t>
      </w:r>
      <w:r w:rsidRPr="00D525A4">
        <w:t>)</w:t>
      </w:r>
      <w:r w:rsidRPr="00D525A4">
        <w:tab/>
        <w:t xml:space="preserve">the </w:t>
      </w:r>
      <w:r w:rsidR="000002BC" w:rsidRPr="00D525A4">
        <w:t xml:space="preserve">full </w:t>
      </w:r>
      <w:r w:rsidRPr="00D525A4">
        <w:t>name of the beneficiary of the transaction, if different</w:t>
      </w:r>
      <w:r w:rsidR="00275B36" w:rsidRPr="00D525A4">
        <w:t xml:space="preserve"> from</w:t>
      </w:r>
      <w:r w:rsidRPr="00D525A4">
        <w:t xml:space="preserve"> the payee</w:t>
      </w:r>
      <w:r w:rsidR="002F020F" w:rsidRPr="00D525A4">
        <w:t xml:space="preserve"> or transferee</w:t>
      </w:r>
      <w:r w:rsidRPr="00D525A4">
        <w:t>;</w:t>
      </w:r>
    </w:p>
    <w:p w14:paraId="260CD082" w14:textId="6798276C" w:rsidR="00A33755" w:rsidRPr="00D525A4" w:rsidRDefault="00DC5D11" w:rsidP="00152C3E">
      <w:pPr>
        <w:pStyle w:val="paragraph"/>
      </w:pPr>
      <w:r w:rsidRPr="00D525A4">
        <w:tab/>
        <w:t>(</w:t>
      </w:r>
      <w:r w:rsidR="00391682" w:rsidRPr="00D525A4">
        <w:t>g</w:t>
      </w:r>
      <w:r w:rsidRPr="00D525A4">
        <w:t>)</w:t>
      </w:r>
      <w:r w:rsidRPr="00D525A4">
        <w:tab/>
      </w:r>
      <w:r w:rsidR="009F6685" w:rsidRPr="00D525A4">
        <w:t xml:space="preserve">the </w:t>
      </w:r>
      <w:r w:rsidR="004C00BE" w:rsidRPr="00D525A4">
        <w:t>date</w:t>
      </w:r>
      <w:r w:rsidR="00342CDE" w:rsidRPr="00D525A4">
        <w:t xml:space="preserve"> and</w:t>
      </w:r>
      <w:r w:rsidR="004C00BE" w:rsidRPr="00D525A4">
        <w:t xml:space="preserve"> </w:t>
      </w:r>
      <w:r w:rsidR="009F6685" w:rsidRPr="00D525A4">
        <w:t>time</w:t>
      </w:r>
      <w:r w:rsidR="00FA47FF" w:rsidRPr="00D525A4">
        <w:t xml:space="preserve"> </w:t>
      </w:r>
      <w:r w:rsidR="00342CDE" w:rsidRPr="00D525A4">
        <w:t xml:space="preserve">(including </w:t>
      </w:r>
      <w:r w:rsidR="00FA47FF" w:rsidRPr="00D525A4">
        <w:t>time zone</w:t>
      </w:r>
      <w:r w:rsidR="00342CDE" w:rsidRPr="00D525A4">
        <w:t>)</w:t>
      </w:r>
      <w:r w:rsidR="00FA47FF" w:rsidRPr="00D525A4">
        <w:t xml:space="preserve"> when the transaction took place</w:t>
      </w:r>
      <w:r w:rsidR="00224473" w:rsidRPr="00D525A4">
        <w:t>;</w:t>
      </w:r>
    </w:p>
    <w:p w14:paraId="380B673D" w14:textId="78D10B6D" w:rsidR="00224473" w:rsidRPr="00D525A4" w:rsidRDefault="00224473" w:rsidP="00224473">
      <w:pPr>
        <w:pStyle w:val="paragraph"/>
      </w:pPr>
      <w:r w:rsidRPr="00D525A4">
        <w:tab/>
        <w:t>(</w:t>
      </w:r>
      <w:r w:rsidR="00342CDE" w:rsidRPr="00D525A4">
        <w:t>h</w:t>
      </w:r>
      <w:r w:rsidRPr="00D525A4">
        <w:t>)</w:t>
      </w:r>
      <w:r w:rsidRPr="00D525A4">
        <w:tab/>
        <w:t>if the transaction is a transfer of value—the following information:</w:t>
      </w:r>
    </w:p>
    <w:p w14:paraId="28845080" w14:textId="4CB420DA" w:rsidR="00224473" w:rsidRPr="00D525A4" w:rsidRDefault="00224473" w:rsidP="00224473">
      <w:pPr>
        <w:pStyle w:val="paragraphsub"/>
      </w:pPr>
      <w:r w:rsidRPr="00D525A4">
        <w:tab/>
        <w:t>(i)</w:t>
      </w:r>
      <w:r w:rsidRPr="00D525A4">
        <w:tab/>
        <w:t>the value of the money, virtual assets or property that is the subject of the transfer of value</w:t>
      </w:r>
      <w:r w:rsidR="00342CDE" w:rsidRPr="00D525A4">
        <w:t xml:space="preserve"> </w:t>
      </w:r>
      <w:r w:rsidR="00996894" w:rsidRPr="00D525A4">
        <w:t>(</w:t>
      </w:r>
      <w:r w:rsidR="00342CDE" w:rsidRPr="00D525A4">
        <w:t>in Australian dollars or a foreign currency as appropriate)</w:t>
      </w:r>
      <w:r w:rsidRPr="00D525A4">
        <w:t>;</w:t>
      </w:r>
    </w:p>
    <w:p w14:paraId="5EA6CA0E" w14:textId="641F7780" w:rsidR="00D45C61" w:rsidRPr="00D525A4" w:rsidRDefault="00224473" w:rsidP="00CF4688">
      <w:pPr>
        <w:pStyle w:val="paragraphsub"/>
      </w:pPr>
      <w:r w:rsidRPr="00D525A4">
        <w:tab/>
        <w:t>(ii)</w:t>
      </w:r>
      <w:r w:rsidRPr="00D525A4">
        <w:tab/>
        <w:t>a unique transaction reference number</w:t>
      </w:r>
      <w:r w:rsidR="00CF4688" w:rsidRPr="00D525A4">
        <w:t>.</w:t>
      </w:r>
    </w:p>
    <w:p w14:paraId="280335E2" w14:textId="77777777" w:rsidR="00A610FC" w:rsidRPr="00D525A4" w:rsidRDefault="00BE6E95" w:rsidP="00A610FC">
      <w:pPr>
        <w:pStyle w:val="notetext"/>
      </w:pPr>
      <w:r w:rsidRPr="00D525A4">
        <w:t>Note:</w:t>
      </w:r>
      <w:r w:rsidRPr="00D525A4">
        <w:tab/>
      </w:r>
      <w:r w:rsidR="00A610FC" w:rsidRPr="00D525A4">
        <w:t>Examples of products and instruments include the following:</w:t>
      </w:r>
    </w:p>
    <w:p w14:paraId="1E36DDBE" w14:textId="77777777" w:rsidR="00A610FC" w:rsidRPr="00D525A4" w:rsidRDefault="00A610FC" w:rsidP="00A610FC">
      <w:pPr>
        <w:pStyle w:val="notepara"/>
      </w:pPr>
      <w:r w:rsidRPr="00D525A4">
        <w:t>(a)</w:t>
      </w:r>
      <w:r w:rsidRPr="00D525A4">
        <w:tab/>
        <w:t>a cheque or travellers cheque;</w:t>
      </w:r>
    </w:p>
    <w:p w14:paraId="39E5962B" w14:textId="77777777" w:rsidR="00A610FC" w:rsidRPr="00D525A4" w:rsidRDefault="00A610FC" w:rsidP="00A610FC">
      <w:pPr>
        <w:pStyle w:val="notepara"/>
      </w:pPr>
      <w:r w:rsidRPr="00D525A4">
        <w:t>(b)</w:t>
      </w:r>
      <w:r w:rsidRPr="00D525A4">
        <w:tab/>
        <w:t>a stored value card;</w:t>
      </w:r>
    </w:p>
    <w:p w14:paraId="37BEC8C9" w14:textId="77777777" w:rsidR="00A610FC" w:rsidRPr="00D525A4" w:rsidRDefault="00A610FC" w:rsidP="00A610FC">
      <w:pPr>
        <w:pStyle w:val="notepara"/>
      </w:pPr>
      <w:r w:rsidRPr="00D525A4">
        <w:t>(c)</w:t>
      </w:r>
      <w:r w:rsidRPr="00D525A4">
        <w:tab/>
        <w:t>a precious metal;</w:t>
      </w:r>
    </w:p>
    <w:p w14:paraId="416AE9A8" w14:textId="14658135" w:rsidR="00A610FC" w:rsidRPr="00D525A4" w:rsidRDefault="00A610FC" w:rsidP="00BE0F18">
      <w:pPr>
        <w:pStyle w:val="notepara"/>
      </w:pPr>
      <w:r w:rsidRPr="00D525A4">
        <w:t>(d)</w:t>
      </w:r>
      <w:r w:rsidRPr="00D525A4">
        <w:tab/>
        <w:t>a gaming chip or token</w:t>
      </w:r>
      <w:r w:rsidR="00187A69" w:rsidRPr="00D525A4">
        <w:t>.</w:t>
      </w:r>
    </w:p>
    <w:p w14:paraId="334CD3FA" w14:textId="29936C3E" w:rsidR="00FD1F0A" w:rsidRPr="00D525A4" w:rsidRDefault="00FD1F0A" w:rsidP="00FD1F0A">
      <w:pPr>
        <w:pStyle w:val="SubsectionHead"/>
      </w:pPr>
      <w:r w:rsidRPr="00D525A4">
        <w:t>Information about transfers of property</w:t>
      </w:r>
    </w:p>
    <w:p w14:paraId="256CF543" w14:textId="4BF68494" w:rsidR="00FD1F0A" w:rsidRPr="00D525A4" w:rsidRDefault="00FD1F0A" w:rsidP="00FD1F0A">
      <w:pPr>
        <w:pStyle w:val="subsection"/>
      </w:pPr>
      <w:r w:rsidRPr="00D525A4">
        <w:tab/>
        <w:t>(</w:t>
      </w:r>
      <w:r w:rsidR="00152C3E" w:rsidRPr="00D525A4">
        <w:t>5</w:t>
      </w:r>
      <w:r w:rsidRPr="00D525A4">
        <w:t>)</w:t>
      </w:r>
      <w:r w:rsidRPr="00D525A4">
        <w:tab/>
        <w:t>If the matter involves a transfer of property, the report must contain the following information about the transfer (</w:t>
      </w:r>
      <w:r w:rsidR="00EC5770" w:rsidRPr="00D525A4">
        <w:t xml:space="preserve">as applicable and </w:t>
      </w:r>
      <w:r w:rsidRPr="00D525A4">
        <w:t>to the extent that the information is known):</w:t>
      </w:r>
    </w:p>
    <w:p w14:paraId="3A32FB75" w14:textId="462C9933" w:rsidR="00FD1F0A" w:rsidRPr="00D525A4" w:rsidRDefault="00FD1F0A" w:rsidP="00CB0C30">
      <w:pPr>
        <w:pStyle w:val="paragraph"/>
      </w:pPr>
      <w:r w:rsidRPr="00D525A4">
        <w:lastRenderedPageBreak/>
        <w:tab/>
        <w:t>(</w:t>
      </w:r>
      <w:r w:rsidR="00CB0C30" w:rsidRPr="00D525A4">
        <w:t>a</w:t>
      </w:r>
      <w:r w:rsidRPr="00D525A4">
        <w:t>)</w:t>
      </w:r>
      <w:r w:rsidRPr="00D525A4">
        <w:tab/>
        <w:t>any unique reference number applicable to the trans</w:t>
      </w:r>
      <w:r w:rsidR="00416821" w:rsidRPr="00D525A4">
        <w:t>fer</w:t>
      </w:r>
      <w:r w:rsidRPr="00D525A4">
        <w:t xml:space="preserve"> provided by the reporting entity or another person;</w:t>
      </w:r>
    </w:p>
    <w:p w14:paraId="50E582CE" w14:textId="6C4C3163" w:rsidR="00FD1F0A" w:rsidRPr="00D525A4" w:rsidRDefault="00FD1F0A" w:rsidP="00FD1F0A">
      <w:pPr>
        <w:pStyle w:val="paragraph"/>
      </w:pPr>
      <w:r w:rsidRPr="00D525A4">
        <w:tab/>
        <w:t>(</w:t>
      </w:r>
      <w:r w:rsidR="00CB0C30" w:rsidRPr="00D525A4">
        <w:t>b</w:t>
      </w:r>
      <w:r w:rsidRPr="00D525A4">
        <w:t>)</w:t>
      </w:r>
      <w:r w:rsidRPr="00D525A4">
        <w:tab/>
        <w:t>the value of the property</w:t>
      </w:r>
      <w:r w:rsidR="001C320F" w:rsidRPr="00D525A4">
        <w:t xml:space="preserve"> (in Australian dollars or a foreign currency as appropriate)</w:t>
      </w:r>
      <w:r w:rsidRPr="00D525A4">
        <w:t>;</w:t>
      </w:r>
    </w:p>
    <w:p w14:paraId="0FD807BC" w14:textId="1B5061A9" w:rsidR="00FD1F0A" w:rsidRPr="00D525A4" w:rsidRDefault="00FD1F0A" w:rsidP="00FD1F0A">
      <w:pPr>
        <w:pStyle w:val="paragraph"/>
      </w:pPr>
      <w:r w:rsidRPr="00D525A4">
        <w:tab/>
        <w:t>(</w:t>
      </w:r>
      <w:r w:rsidR="00CB0C30" w:rsidRPr="00D525A4">
        <w:t>c</w:t>
      </w:r>
      <w:r w:rsidRPr="00D525A4">
        <w:t>)</w:t>
      </w:r>
      <w:r w:rsidRPr="00D525A4">
        <w:tab/>
        <w:t xml:space="preserve">the </w:t>
      </w:r>
      <w:r w:rsidR="000002BC" w:rsidRPr="00D525A4">
        <w:t xml:space="preserve">full </w:t>
      </w:r>
      <w:r w:rsidRPr="00D525A4">
        <w:t>names of all persons involved in the trans</w:t>
      </w:r>
      <w:r w:rsidR="00416821" w:rsidRPr="00D525A4">
        <w:t>fer</w:t>
      </w:r>
      <w:r w:rsidR="00CB0C30" w:rsidRPr="00D525A4">
        <w:t>;</w:t>
      </w:r>
    </w:p>
    <w:p w14:paraId="3750A1F7" w14:textId="490719AA" w:rsidR="00745507" w:rsidRPr="00D525A4" w:rsidRDefault="00CB0C30" w:rsidP="00745507">
      <w:pPr>
        <w:pStyle w:val="paragraph"/>
      </w:pPr>
      <w:r w:rsidRPr="00D525A4">
        <w:tab/>
        <w:t>(d)</w:t>
      </w:r>
      <w:r w:rsidRPr="00D525A4">
        <w:tab/>
        <w:t>details of the property, including any unique identif</w:t>
      </w:r>
      <w:r w:rsidR="0055602F" w:rsidRPr="00D525A4">
        <w:t>ication</w:t>
      </w:r>
      <w:r w:rsidRPr="00D525A4">
        <w:t xml:space="preserve"> </w:t>
      </w:r>
      <w:r w:rsidR="005F5D9F" w:rsidRPr="00D525A4">
        <w:t>details</w:t>
      </w:r>
      <w:r w:rsidR="007D4DE3" w:rsidRPr="00D525A4">
        <w:t xml:space="preserve"> </w:t>
      </w:r>
      <w:r w:rsidRPr="00D525A4">
        <w:t>for the property</w:t>
      </w:r>
      <w:r w:rsidR="00745507" w:rsidRPr="00D525A4">
        <w:t>.</w:t>
      </w:r>
    </w:p>
    <w:p w14:paraId="248AFF8E" w14:textId="0C253A2A" w:rsidR="00E00101" w:rsidRPr="00D525A4" w:rsidRDefault="008F5C06" w:rsidP="008F5C06">
      <w:pPr>
        <w:pStyle w:val="notetext"/>
      </w:pPr>
      <w:r w:rsidRPr="00D525A4">
        <w:t>Note:</w:t>
      </w:r>
      <w:r w:rsidRPr="00D525A4">
        <w:tab/>
      </w:r>
      <w:r w:rsidR="00E00101" w:rsidRPr="00D525A4">
        <w:t>E</w:t>
      </w:r>
      <w:r w:rsidRPr="00D525A4">
        <w:t>xample</w:t>
      </w:r>
      <w:r w:rsidR="00E00101" w:rsidRPr="00D525A4">
        <w:t>s</w:t>
      </w:r>
      <w:r w:rsidRPr="00D525A4">
        <w:t xml:space="preserve"> of </w:t>
      </w:r>
      <w:r w:rsidR="00BD080C" w:rsidRPr="00D525A4">
        <w:t xml:space="preserve">a </w:t>
      </w:r>
      <w:r w:rsidR="00182544" w:rsidRPr="00D525A4">
        <w:t>unique identif</w:t>
      </w:r>
      <w:r w:rsidR="0055602F" w:rsidRPr="00D525A4">
        <w:t>ication</w:t>
      </w:r>
      <w:r w:rsidR="007D4DE3" w:rsidRPr="00D525A4">
        <w:t xml:space="preserve"> </w:t>
      </w:r>
      <w:r w:rsidR="005F5D9F" w:rsidRPr="00D525A4">
        <w:t>details</w:t>
      </w:r>
      <w:r w:rsidR="00E00101" w:rsidRPr="00D525A4">
        <w:t xml:space="preserve"> include:</w:t>
      </w:r>
    </w:p>
    <w:p w14:paraId="6034A2EC" w14:textId="5B2BD82B" w:rsidR="008F5C06" w:rsidRPr="00D525A4" w:rsidRDefault="00E00101" w:rsidP="00E00101">
      <w:pPr>
        <w:pStyle w:val="notepara"/>
      </w:pPr>
      <w:r w:rsidRPr="00D525A4">
        <w:t>(a)</w:t>
      </w:r>
      <w:r w:rsidRPr="00D525A4">
        <w:tab/>
      </w:r>
      <w:r w:rsidR="00182544" w:rsidRPr="00D525A4">
        <w:t xml:space="preserve">for </w:t>
      </w:r>
      <w:r w:rsidR="00D22B56" w:rsidRPr="00D525A4">
        <w:t>real estate</w:t>
      </w:r>
      <w:r w:rsidRPr="00D525A4">
        <w:t>—</w:t>
      </w:r>
      <w:r w:rsidR="00D22B56" w:rsidRPr="00D525A4">
        <w:t>the plan and lot numbers for the real estate</w:t>
      </w:r>
      <w:r w:rsidRPr="00D525A4">
        <w:t>; and</w:t>
      </w:r>
    </w:p>
    <w:p w14:paraId="2FE90AFC" w14:textId="36FA966A" w:rsidR="00FD1F0A" w:rsidRPr="00D525A4" w:rsidRDefault="00E00101" w:rsidP="00E00101">
      <w:pPr>
        <w:pStyle w:val="notepara"/>
      </w:pPr>
      <w:r w:rsidRPr="00D525A4">
        <w:t>(b)</w:t>
      </w:r>
      <w:r w:rsidRPr="00D525A4">
        <w:tab/>
        <w:t>for bullion—the serial number on the bullion.</w:t>
      </w:r>
    </w:p>
    <w:p w14:paraId="1A572A1C" w14:textId="77777777" w:rsidR="00FD1F0A" w:rsidRPr="00D525A4" w:rsidRDefault="00FD1F0A" w:rsidP="00FD1F0A">
      <w:pPr>
        <w:pStyle w:val="SubsectionHead"/>
      </w:pPr>
      <w:r w:rsidRPr="00D525A4">
        <w:t>Information about virtual assets</w:t>
      </w:r>
    </w:p>
    <w:p w14:paraId="1CF72F5E" w14:textId="70DD8C1D" w:rsidR="00FD1F0A" w:rsidRPr="00D525A4" w:rsidRDefault="00FD1F0A" w:rsidP="00FD1F0A">
      <w:pPr>
        <w:pStyle w:val="subsection"/>
      </w:pPr>
      <w:r w:rsidRPr="00D525A4">
        <w:tab/>
        <w:t>(</w:t>
      </w:r>
      <w:r w:rsidR="00152C3E" w:rsidRPr="00D525A4">
        <w:t>6</w:t>
      </w:r>
      <w:r w:rsidRPr="00D525A4">
        <w:t>)</w:t>
      </w:r>
      <w:r w:rsidRPr="00D525A4">
        <w:tab/>
        <w:t>If the matter involves virtual assets, the report must contain the following information about the virtual assets (</w:t>
      </w:r>
      <w:r w:rsidR="00EC5770" w:rsidRPr="00D525A4">
        <w:t>as applicable and to the extent that the information is known</w:t>
      </w:r>
      <w:r w:rsidRPr="00D525A4">
        <w:t>):</w:t>
      </w:r>
    </w:p>
    <w:p w14:paraId="63DF65F0" w14:textId="71E9EBC7" w:rsidR="00911F54" w:rsidRPr="00D525A4" w:rsidRDefault="00FD1F0A" w:rsidP="00446EBE">
      <w:pPr>
        <w:pStyle w:val="paragraph"/>
      </w:pPr>
      <w:r w:rsidRPr="00D525A4">
        <w:tab/>
        <w:t>(a)</w:t>
      </w:r>
      <w:r w:rsidRPr="00D525A4">
        <w:tab/>
      </w:r>
      <w:r w:rsidR="00911F54" w:rsidRPr="00D525A4">
        <w:t>information on</w:t>
      </w:r>
      <w:r w:rsidR="00E07BD2" w:rsidRPr="00D525A4">
        <w:t xml:space="preserve"> the </w:t>
      </w:r>
      <w:r w:rsidR="00E74174" w:rsidRPr="00D525A4">
        <w:t>kind</w:t>
      </w:r>
      <w:r w:rsidR="00E07BD2" w:rsidRPr="00D525A4">
        <w:t xml:space="preserve"> of virtual assets, including details of the backing asset</w:t>
      </w:r>
      <w:r w:rsidR="00446EBE" w:rsidRPr="00D525A4">
        <w:t xml:space="preserve"> (if any)</w:t>
      </w:r>
      <w:r w:rsidR="00E07BD2" w:rsidRPr="00D525A4">
        <w:t>;</w:t>
      </w:r>
    </w:p>
    <w:p w14:paraId="51E0EFA8" w14:textId="660346D1" w:rsidR="00FD1F0A" w:rsidRPr="00D525A4" w:rsidRDefault="00E07BD2" w:rsidP="00FD1F0A">
      <w:pPr>
        <w:pStyle w:val="paragraph"/>
      </w:pPr>
      <w:r w:rsidRPr="00D525A4">
        <w:tab/>
        <w:t>(b)</w:t>
      </w:r>
      <w:r w:rsidRPr="00D525A4">
        <w:tab/>
      </w:r>
      <w:r w:rsidR="00FD1F0A" w:rsidRPr="00D525A4">
        <w:t>the</w:t>
      </w:r>
      <w:r w:rsidR="00FD1F0A" w:rsidRPr="00D525A4">
        <w:rPr>
          <w:i/>
          <w:iCs/>
        </w:rPr>
        <w:t xml:space="preserve"> </w:t>
      </w:r>
      <w:r w:rsidR="00FD1F0A" w:rsidRPr="00D525A4">
        <w:t>number of virtual asset units;</w:t>
      </w:r>
    </w:p>
    <w:p w14:paraId="69427D0C" w14:textId="3228CE75" w:rsidR="00FD1F0A" w:rsidRPr="00D525A4" w:rsidRDefault="00FD1F0A" w:rsidP="00E00101">
      <w:pPr>
        <w:pStyle w:val="paragraph"/>
      </w:pPr>
      <w:r w:rsidRPr="00D525A4">
        <w:tab/>
        <w:t>(</w:t>
      </w:r>
      <w:r w:rsidR="00E07BD2" w:rsidRPr="00D525A4">
        <w:t>c</w:t>
      </w:r>
      <w:r w:rsidRPr="00D525A4">
        <w:t>)</w:t>
      </w:r>
      <w:r w:rsidRPr="00D525A4">
        <w:tab/>
        <w:t>the value of the virtual assets in Australian dollars;</w:t>
      </w:r>
    </w:p>
    <w:p w14:paraId="2FBF1102" w14:textId="0C6E0E57" w:rsidR="00A610FC" w:rsidRPr="00D525A4" w:rsidRDefault="00A610FC" w:rsidP="00E00101">
      <w:pPr>
        <w:pStyle w:val="paragraph"/>
      </w:pPr>
      <w:r w:rsidRPr="00D525A4">
        <w:tab/>
        <w:t>(d)</w:t>
      </w:r>
      <w:r w:rsidRPr="00D525A4">
        <w:tab/>
        <w:t>the exchange rate used in determining the value;</w:t>
      </w:r>
    </w:p>
    <w:p w14:paraId="581148AF" w14:textId="77777777" w:rsidR="00A610FC" w:rsidRPr="00D525A4" w:rsidRDefault="00152C3E" w:rsidP="00A610FC">
      <w:pPr>
        <w:pStyle w:val="paragraph"/>
      </w:pPr>
      <w:r w:rsidRPr="00D525A4">
        <w:tab/>
        <w:t>(</w:t>
      </w:r>
      <w:r w:rsidR="00A610FC" w:rsidRPr="00D525A4">
        <w:t>e</w:t>
      </w:r>
      <w:r w:rsidRPr="00D525A4">
        <w:t>)</w:t>
      </w:r>
      <w:r w:rsidRPr="00D525A4">
        <w:tab/>
      </w:r>
      <w:r w:rsidR="00A610FC" w:rsidRPr="00D525A4">
        <w:t xml:space="preserve">the </w:t>
      </w:r>
      <w:r w:rsidRPr="00D525A4">
        <w:t>unique transaction reference number, including a transaction hash;</w:t>
      </w:r>
    </w:p>
    <w:p w14:paraId="0F85A93A" w14:textId="309F5456" w:rsidR="00EB2921" w:rsidRPr="00D525A4" w:rsidRDefault="00A610FC" w:rsidP="00A610FC">
      <w:pPr>
        <w:pStyle w:val="paragraph"/>
      </w:pPr>
      <w:r w:rsidRPr="00D525A4">
        <w:tab/>
        <w:t>(f)</w:t>
      </w:r>
      <w:r w:rsidRPr="00D525A4">
        <w:tab/>
      </w:r>
      <w:r w:rsidR="00152C3E" w:rsidRPr="00D525A4">
        <w:t xml:space="preserve">the </w:t>
      </w:r>
      <w:r w:rsidR="001C320F" w:rsidRPr="00D525A4">
        <w:t xml:space="preserve">virtual asset </w:t>
      </w:r>
      <w:r w:rsidR="00152C3E" w:rsidRPr="00D525A4">
        <w:t>wallet address, including destination tag or memo details</w:t>
      </w:r>
      <w:r w:rsidR="003777E3" w:rsidRPr="00D525A4">
        <w:t>.</w:t>
      </w:r>
    </w:p>
    <w:p w14:paraId="36C4175E" w14:textId="77777777" w:rsidR="00FD1F0A" w:rsidRPr="00D525A4" w:rsidRDefault="00FD1F0A" w:rsidP="00FD1F0A">
      <w:pPr>
        <w:pStyle w:val="SubsectionHead"/>
      </w:pPr>
      <w:r w:rsidRPr="00D525A4">
        <w:t>Information about another person providing a designated service</w:t>
      </w:r>
    </w:p>
    <w:p w14:paraId="1BC13B1B" w14:textId="1B18CA3E" w:rsidR="00FD1F0A" w:rsidRPr="00D525A4" w:rsidRDefault="00FD1F0A" w:rsidP="00FD1F0A">
      <w:pPr>
        <w:pStyle w:val="subsection"/>
      </w:pPr>
      <w:r w:rsidRPr="00D525A4">
        <w:tab/>
        <w:t>(</w:t>
      </w:r>
      <w:r w:rsidR="00152C3E" w:rsidRPr="00D525A4">
        <w:t>7</w:t>
      </w:r>
      <w:r w:rsidRPr="00D525A4">
        <w:t>)</w:t>
      </w:r>
      <w:r w:rsidRPr="00D525A4">
        <w:tab/>
        <w:t xml:space="preserve">If </w:t>
      </w:r>
      <w:r w:rsidR="006D1D49" w:rsidRPr="00D525A4">
        <w:t xml:space="preserve">a person other than the reporting entity </w:t>
      </w:r>
      <w:r w:rsidR="00454326" w:rsidRPr="00D525A4">
        <w:t>provided</w:t>
      </w:r>
      <w:r w:rsidR="006D1D49" w:rsidRPr="00D525A4">
        <w:t xml:space="preserve"> or proposed </w:t>
      </w:r>
      <w:r w:rsidR="00454326" w:rsidRPr="00D525A4">
        <w:t xml:space="preserve">to </w:t>
      </w:r>
      <w:r w:rsidR="006D1D49" w:rsidRPr="00D525A4">
        <w:t>provi</w:t>
      </w:r>
      <w:r w:rsidR="00454326" w:rsidRPr="00D525A4">
        <w:t>de</w:t>
      </w:r>
      <w:r w:rsidR="006D1D49" w:rsidRPr="00D525A4">
        <w:t xml:space="preserve"> </w:t>
      </w:r>
      <w:r w:rsidR="00911F54" w:rsidRPr="00D525A4">
        <w:t>a designated service that relates to the matter</w:t>
      </w:r>
      <w:r w:rsidR="00986029" w:rsidRPr="00D525A4">
        <w:t xml:space="preserve">, </w:t>
      </w:r>
      <w:r w:rsidR="006D1D49" w:rsidRPr="00D525A4">
        <w:t>the report must contain the following information</w:t>
      </w:r>
      <w:r w:rsidR="00A610FC" w:rsidRPr="00D525A4">
        <w:t xml:space="preserve"> about the person</w:t>
      </w:r>
      <w:r w:rsidR="00B402E7" w:rsidRPr="00D525A4">
        <w:t xml:space="preserve"> (to the extent that the information is known)</w:t>
      </w:r>
      <w:r w:rsidRPr="00D525A4">
        <w:t>:</w:t>
      </w:r>
    </w:p>
    <w:p w14:paraId="5F0538FF" w14:textId="49A46C54" w:rsidR="00FD1F0A" w:rsidRPr="00D525A4" w:rsidRDefault="00FD1F0A" w:rsidP="00FD1F0A">
      <w:pPr>
        <w:pStyle w:val="paragraph"/>
      </w:pPr>
      <w:r w:rsidRPr="00D525A4">
        <w:tab/>
        <w:t>(</w:t>
      </w:r>
      <w:r w:rsidR="002950B1" w:rsidRPr="00D525A4">
        <w:t>a</w:t>
      </w:r>
      <w:r w:rsidRPr="00D525A4">
        <w:t>)</w:t>
      </w:r>
      <w:r w:rsidRPr="00D525A4">
        <w:tab/>
        <w:t>the full name of the person;</w:t>
      </w:r>
    </w:p>
    <w:p w14:paraId="666885B2" w14:textId="3B6788A6" w:rsidR="00FD1F0A" w:rsidRPr="00D525A4" w:rsidRDefault="00FD1F0A" w:rsidP="00FD1F0A">
      <w:pPr>
        <w:pStyle w:val="paragraph"/>
      </w:pPr>
      <w:r w:rsidRPr="00D525A4">
        <w:tab/>
        <w:t>(</w:t>
      </w:r>
      <w:r w:rsidR="002950B1" w:rsidRPr="00D525A4">
        <w:t>b</w:t>
      </w:r>
      <w:r w:rsidRPr="00D525A4">
        <w:t>)</w:t>
      </w:r>
      <w:r w:rsidRPr="00D525A4">
        <w:tab/>
      </w:r>
      <w:r w:rsidR="00F2096A" w:rsidRPr="00D525A4">
        <w:t xml:space="preserve">the </w:t>
      </w:r>
      <w:r w:rsidR="00A610FC" w:rsidRPr="00D525A4">
        <w:t xml:space="preserve">address or location </w:t>
      </w:r>
      <w:r w:rsidR="00F2096A" w:rsidRPr="00D525A4">
        <w:t xml:space="preserve">where the person </w:t>
      </w:r>
      <w:r w:rsidR="00454326" w:rsidRPr="00D525A4">
        <w:t>provided</w:t>
      </w:r>
      <w:r w:rsidR="00F2096A" w:rsidRPr="00D525A4">
        <w:t xml:space="preserve"> or proposed </w:t>
      </w:r>
      <w:r w:rsidR="00454326" w:rsidRPr="00D525A4">
        <w:t xml:space="preserve">to </w:t>
      </w:r>
      <w:r w:rsidR="00F2096A" w:rsidRPr="00D525A4">
        <w:t>prov</w:t>
      </w:r>
      <w:r w:rsidR="00454326" w:rsidRPr="00D525A4">
        <w:t>ide</w:t>
      </w:r>
      <w:r w:rsidR="00F2096A" w:rsidRPr="00D525A4">
        <w:t xml:space="preserve"> a designated service that relates to the matter</w:t>
      </w:r>
      <w:r w:rsidR="00911F54" w:rsidRPr="00D525A4">
        <w:t>;</w:t>
      </w:r>
    </w:p>
    <w:p w14:paraId="52DDEF8E" w14:textId="780D645F" w:rsidR="00FD1F0A" w:rsidRPr="00D525A4" w:rsidRDefault="00911F54" w:rsidP="00A610FC">
      <w:pPr>
        <w:pStyle w:val="paragraph"/>
      </w:pPr>
      <w:r w:rsidRPr="00D525A4">
        <w:tab/>
        <w:t>(c)</w:t>
      </w:r>
      <w:r w:rsidRPr="00D525A4">
        <w:tab/>
      </w:r>
      <w:r w:rsidR="00A610FC" w:rsidRPr="00D525A4">
        <w:t>the kind of</w:t>
      </w:r>
      <w:r w:rsidRPr="00D525A4">
        <w:t xml:space="preserve"> designated service provided or proposed to be provided by the person</w:t>
      </w:r>
      <w:r w:rsidR="00B402E7" w:rsidRPr="00D525A4">
        <w:t>.</w:t>
      </w:r>
    </w:p>
    <w:p w14:paraId="273BF806" w14:textId="77777777" w:rsidR="00FD1F0A" w:rsidRPr="00D525A4" w:rsidRDefault="00FD1F0A" w:rsidP="00FD1F0A">
      <w:pPr>
        <w:pStyle w:val="SubsectionHead"/>
      </w:pPr>
      <w:r w:rsidRPr="00D525A4">
        <w:t>Information about online activity</w:t>
      </w:r>
    </w:p>
    <w:p w14:paraId="42A6C510" w14:textId="3E4AAB6E" w:rsidR="00FD1F0A" w:rsidRPr="00D525A4" w:rsidRDefault="00FD1F0A" w:rsidP="00FD1F0A">
      <w:pPr>
        <w:pStyle w:val="subsection"/>
      </w:pPr>
      <w:r w:rsidRPr="00D525A4">
        <w:tab/>
        <w:t>(</w:t>
      </w:r>
      <w:r w:rsidR="00152C3E" w:rsidRPr="00D525A4">
        <w:t>8</w:t>
      </w:r>
      <w:r w:rsidRPr="00D525A4">
        <w:t>)</w:t>
      </w:r>
      <w:r w:rsidRPr="00D525A4">
        <w:tab/>
        <w:t>If the matter involves online activity by any person involved in the matter, including for the purpose of providing a designated service, the report must contain the following information about the online activity (</w:t>
      </w:r>
      <w:r w:rsidR="00EC5770" w:rsidRPr="00D525A4">
        <w:t>as applicable and to the extent that the information is known</w:t>
      </w:r>
      <w:r w:rsidRPr="00D525A4">
        <w:t>):</w:t>
      </w:r>
    </w:p>
    <w:p w14:paraId="12E2CA36" w14:textId="04C4822D" w:rsidR="00FD1F0A" w:rsidRPr="00D525A4" w:rsidRDefault="00FD1F0A" w:rsidP="00FD1F0A">
      <w:pPr>
        <w:pStyle w:val="paragraph"/>
      </w:pPr>
      <w:r w:rsidRPr="00D525A4">
        <w:tab/>
        <w:t>(a)</w:t>
      </w:r>
      <w:r w:rsidRPr="00D525A4">
        <w:tab/>
        <w:t>unique network</w:t>
      </w:r>
      <w:r w:rsidRPr="00D525A4">
        <w:rPr>
          <w:i/>
          <w:iCs/>
        </w:rPr>
        <w:t xml:space="preserve"> </w:t>
      </w:r>
      <w:r w:rsidRPr="00D525A4">
        <w:t>identification numbers for the networks used by the person</w:t>
      </w:r>
      <w:r w:rsidR="009C41DE" w:rsidRPr="00D525A4">
        <w:t>, such as an Internet Protocol (IP) address</w:t>
      </w:r>
      <w:r w:rsidRPr="00D525A4">
        <w:t>;</w:t>
      </w:r>
    </w:p>
    <w:p w14:paraId="21743377" w14:textId="0F08DB14" w:rsidR="00FD1F0A" w:rsidRPr="00D525A4" w:rsidRDefault="00FD1F0A" w:rsidP="00FD1F0A">
      <w:pPr>
        <w:pStyle w:val="paragraph"/>
      </w:pPr>
      <w:r w:rsidRPr="00D525A4">
        <w:tab/>
        <w:t>(b)</w:t>
      </w:r>
      <w:r w:rsidRPr="00D525A4">
        <w:tab/>
      </w:r>
      <w:r w:rsidR="00637C02" w:rsidRPr="00D525A4">
        <w:t xml:space="preserve">the date and time (including time zone) that online activity was recorded occurring, if different from the date and time </w:t>
      </w:r>
      <w:r w:rsidR="004977B4" w:rsidRPr="00D525A4">
        <w:t>when</w:t>
      </w:r>
      <w:r w:rsidR="00637C02" w:rsidRPr="00D525A4">
        <w:t xml:space="preserve"> </w:t>
      </w:r>
      <w:r w:rsidR="004977B4" w:rsidRPr="00D525A4">
        <w:t>a</w:t>
      </w:r>
      <w:r w:rsidR="00637C02" w:rsidRPr="00D525A4">
        <w:t xml:space="preserve"> transaction took place as reported under </w:t>
      </w:r>
      <w:r w:rsidR="009F59ED" w:rsidRPr="00D525A4">
        <w:t>subsection (</w:t>
      </w:r>
      <w:r w:rsidR="003C26AA" w:rsidRPr="00D525A4">
        <w:t>4</w:t>
      </w:r>
      <w:r w:rsidR="00637C02" w:rsidRPr="00D525A4">
        <w:t>)</w:t>
      </w:r>
      <w:r w:rsidRPr="00D525A4">
        <w:t>;</w:t>
      </w:r>
    </w:p>
    <w:p w14:paraId="01E71867" w14:textId="59A44A04" w:rsidR="00FD1F0A" w:rsidRPr="00D525A4" w:rsidRDefault="00FD1F0A" w:rsidP="00FD1F0A">
      <w:pPr>
        <w:pStyle w:val="paragraph"/>
      </w:pPr>
      <w:r w:rsidRPr="00D525A4">
        <w:tab/>
        <w:t>(c)</w:t>
      </w:r>
      <w:r w:rsidRPr="00D525A4">
        <w:tab/>
      </w:r>
      <w:r w:rsidR="00637C02" w:rsidRPr="00D525A4">
        <w:t>unique identification numbers for the relevant devices involved, such as an International Mobile Equipment Identity (IMEI)</w:t>
      </w:r>
      <w:r w:rsidRPr="00D525A4">
        <w:t>;</w:t>
      </w:r>
    </w:p>
    <w:p w14:paraId="30014589" w14:textId="1F094AE7" w:rsidR="0040660B" w:rsidRPr="00D525A4" w:rsidRDefault="0040660B" w:rsidP="00FD1F0A">
      <w:pPr>
        <w:pStyle w:val="paragraph"/>
      </w:pPr>
      <w:r w:rsidRPr="00D525A4">
        <w:tab/>
        <w:t>(d)</w:t>
      </w:r>
      <w:r w:rsidRPr="00D525A4">
        <w:tab/>
        <w:t>a description of the software or application being used</w:t>
      </w:r>
      <w:r w:rsidR="00637C02" w:rsidRPr="00D525A4">
        <w:t xml:space="preserve"> by the person</w:t>
      </w:r>
      <w:r w:rsidRPr="00D525A4">
        <w:t>;</w:t>
      </w:r>
    </w:p>
    <w:p w14:paraId="71403E6B" w14:textId="16C5AE08" w:rsidR="0030717F" w:rsidRPr="00D525A4" w:rsidRDefault="00FD1F0A" w:rsidP="000843F2">
      <w:pPr>
        <w:pStyle w:val="paragraph"/>
      </w:pPr>
      <w:r w:rsidRPr="00D525A4">
        <w:lastRenderedPageBreak/>
        <w:tab/>
        <w:t>(</w:t>
      </w:r>
      <w:r w:rsidR="0040660B" w:rsidRPr="00D525A4">
        <w:t>e</w:t>
      </w:r>
      <w:r w:rsidRPr="00D525A4">
        <w:t>)</w:t>
      </w:r>
      <w:r w:rsidRPr="00D525A4">
        <w:tab/>
      </w:r>
      <w:r w:rsidR="0040660B" w:rsidRPr="00D525A4">
        <w:t>the full name used by the person for the purposes of the software or application</w:t>
      </w:r>
      <w:r w:rsidRPr="00D525A4">
        <w:t>.</w:t>
      </w:r>
    </w:p>
    <w:p w14:paraId="0D07AAEC" w14:textId="0E0AD008" w:rsidR="009B152C" w:rsidRPr="00D525A4" w:rsidRDefault="00270E8B" w:rsidP="009B152C">
      <w:pPr>
        <w:pStyle w:val="ActHead3"/>
        <w:pageBreakBefore/>
      </w:pPr>
      <w:bookmarkStart w:id="168" w:name="_Toc198225051"/>
      <w:r w:rsidRPr="00D525A4">
        <w:rPr>
          <w:rStyle w:val="CharDivNo"/>
        </w:rPr>
        <w:lastRenderedPageBreak/>
        <w:t>Division 2</w:t>
      </w:r>
      <w:r w:rsidR="009B152C" w:rsidRPr="00D525A4">
        <w:t>—</w:t>
      </w:r>
      <w:r w:rsidR="00CA5539" w:rsidRPr="00D525A4">
        <w:rPr>
          <w:rStyle w:val="CharDivText"/>
        </w:rPr>
        <w:t>Reports of threshold transactions</w:t>
      </w:r>
      <w:bookmarkEnd w:id="168"/>
    </w:p>
    <w:p w14:paraId="5A535C04" w14:textId="008713B3" w:rsidR="00CA5539" w:rsidRPr="00D525A4" w:rsidRDefault="00EC097E" w:rsidP="00CA5539">
      <w:pPr>
        <w:pStyle w:val="ActHead5"/>
      </w:pPr>
      <w:bookmarkStart w:id="169" w:name="_Toc198225052"/>
      <w:r w:rsidRPr="00D525A4">
        <w:rPr>
          <w:rStyle w:val="CharSectno"/>
        </w:rPr>
        <w:t>8</w:t>
      </w:r>
      <w:r w:rsidR="00D525A4">
        <w:rPr>
          <w:rStyle w:val="CharSectno"/>
        </w:rPr>
        <w:noBreakHyphen/>
      </w:r>
      <w:r w:rsidRPr="00D525A4">
        <w:rPr>
          <w:rStyle w:val="CharSectno"/>
        </w:rPr>
        <w:t>5</w:t>
      </w:r>
      <w:r w:rsidR="00CA5539" w:rsidRPr="00D525A4">
        <w:t xml:space="preserve">  Purpose of this Division</w:t>
      </w:r>
      <w:bookmarkEnd w:id="169"/>
    </w:p>
    <w:p w14:paraId="49E8AD6A" w14:textId="3BCD91D6" w:rsidR="00CA5539" w:rsidRPr="00D525A4" w:rsidRDefault="00CA5539" w:rsidP="00CA5539">
      <w:pPr>
        <w:pStyle w:val="subsection"/>
      </w:pPr>
      <w:r w:rsidRPr="00D525A4">
        <w:tab/>
      </w:r>
      <w:r w:rsidRPr="00D525A4">
        <w:tab/>
        <w:t xml:space="preserve">For the purposes of </w:t>
      </w:r>
      <w:r w:rsidR="005C5E95" w:rsidRPr="00D525A4">
        <w:t>paragraph 4</w:t>
      </w:r>
      <w:r w:rsidRPr="00D525A4">
        <w:t xml:space="preserve">3(3)(b) of the Act, this Division sets out the information that must be contained in a report made by a reporting entity under </w:t>
      </w:r>
      <w:r w:rsidR="005C5E95" w:rsidRPr="00D525A4">
        <w:t>subsection 4</w:t>
      </w:r>
      <w:r w:rsidRPr="00D525A4">
        <w:t>3(2) of the Act in relation to a threshold transaction.</w:t>
      </w:r>
    </w:p>
    <w:p w14:paraId="7E5186A8" w14:textId="37C7D76A" w:rsidR="00CA5539" w:rsidRPr="00D525A4" w:rsidRDefault="00EC097E" w:rsidP="00CA5539">
      <w:pPr>
        <w:pStyle w:val="ActHead5"/>
      </w:pPr>
      <w:bookmarkStart w:id="170" w:name="_Toc198225053"/>
      <w:r w:rsidRPr="00D525A4">
        <w:rPr>
          <w:rStyle w:val="CharSectno"/>
        </w:rPr>
        <w:t>8</w:t>
      </w:r>
      <w:r w:rsidR="00D525A4">
        <w:rPr>
          <w:rStyle w:val="CharSectno"/>
        </w:rPr>
        <w:noBreakHyphen/>
      </w:r>
      <w:r w:rsidRPr="00D525A4">
        <w:rPr>
          <w:rStyle w:val="CharSectno"/>
        </w:rPr>
        <w:t>6</w:t>
      </w:r>
      <w:r w:rsidR="00CA5539" w:rsidRPr="00D525A4">
        <w:t xml:space="preserve">  Reports of threshold transactions—general information</w:t>
      </w:r>
      <w:bookmarkEnd w:id="170"/>
    </w:p>
    <w:p w14:paraId="18A7E25B" w14:textId="77777777" w:rsidR="00CA5539" w:rsidRPr="00D525A4" w:rsidRDefault="00CA5539" w:rsidP="00CA5539">
      <w:pPr>
        <w:pStyle w:val="subsection"/>
      </w:pPr>
      <w:r w:rsidRPr="00D525A4">
        <w:tab/>
        <w:t>(1)</w:t>
      </w:r>
      <w:r w:rsidRPr="00D525A4">
        <w:tab/>
        <w:t>The report must contain the following information:</w:t>
      </w:r>
    </w:p>
    <w:p w14:paraId="7BA37254" w14:textId="6D618168" w:rsidR="00CA5539" w:rsidRPr="00D525A4" w:rsidRDefault="00CA5539" w:rsidP="00CA5539">
      <w:pPr>
        <w:pStyle w:val="paragraph"/>
      </w:pPr>
      <w:r w:rsidRPr="00D525A4">
        <w:tab/>
        <w:t>(a)</w:t>
      </w:r>
      <w:r w:rsidRPr="00D525A4">
        <w:tab/>
        <w:t>the reporting entity’s full name and the identifier assigned to the entity by AUSTRAC;</w:t>
      </w:r>
    </w:p>
    <w:p w14:paraId="48660656" w14:textId="77777777" w:rsidR="00CA5539" w:rsidRPr="00D525A4" w:rsidRDefault="00CA5539" w:rsidP="00CA5539">
      <w:pPr>
        <w:pStyle w:val="paragraph"/>
      </w:pPr>
      <w:r w:rsidRPr="00D525A4">
        <w:tab/>
        <w:t>(b)</w:t>
      </w:r>
      <w:r w:rsidRPr="00D525A4">
        <w:tab/>
        <w:t>the date the report is given to the AUSTRAC CEO.</w:t>
      </w:r>
    </w:p>
    <w:p w14:paraId="0D0DFAF8" w14:textId="77777777" w:rsidR="00CA5539" w:rsidRPr="00D525A4" w:rsidRDefault="00CA5539" w:rsidP="00CA5539">
      <w:pPr>
        <w:pStyle w:val="subsection"/>
      </w:pPr>
      <w:r w:rsidRPr="00D525A4">
        <w:tab/>
        <w:t>(2)</w:t>
      </w:r>
      <w:r w:rsidRPr="00D525A4">
        <w:tab/>
        <w:t>The report must contain the following information about the individual completing the report:</w:t>
      </w:r>
    </w:p>
    <w:p w14:paraId="6C61BAE2" w14:textId="7FCEE11F" w:rsidR="00CA5539" w:rsidRPr="00D525A4" w:rsidRDefault="00CA5539" w:rsidP="00CA5539">
      <w:pPr>
        <w:pStyle w:val="paragraph"/>
      </w:pPr>
      <w:r w:rsidRPr="00D525A4">
        <w:tab/>
        <w:t>(a)</w:t>
      </w:r>
      <w:r w:rsidRPr="00D525A4">
        <w:tab/>
        <w:t>the individual’s full name;</w:t>
      </w:r>
    </w:p>
    <w:p w14:paraId="7C4B522E" w14:textId="77777777" w:rsidR="00CA5539" w:rsidRPr="00D525A4" w:rsidRDefault="00CA5539" w:rsidP="00CA5539">
      <w:pPr>
        <w:pStyle w:val="paragraph"/>
      </w:pPr>
      <w:r w:rsidRPr="00D525A4">
        <w:tab/>
        <w:t>(b)</w:t>
      </w:r>
      <w:r w:rsidRPr="00D525A4">
        <w:tab/>
        <w:t>the individual’s position with the reporting entity;</w:t>
      </w:r>
    </w:p>
    <w:p w14:paraId="709CA612" w14:textId="77777777" w:rsidR="00CA5539" w:rsidRPr="00D525A4" w:rsidRDefault="00CA5539" w:rsidP="00CA5539">
      <w:pPr>
        <w:pStyle w:val="paragraph"/>
      </w:pPr>
      <w:r w:rsidRPr="00D525A4">
        <w:tab/>
        <w:t>(c)</w:t>
      </w:r>
      <w:r w:rsidRPr="00D525A4">
        <w:tab/>
        <w:t>the individual’s contact details.</w:t>
      </w:r>
    </w:p>
    <w:p w14:paraId="2C20B573" w14:textId="23272DF4" w:rsidR="00CA5539" w:rsidRPr="00D525A4" w:rsidRDefault="00EC097E" w:rsidP="00CA5539">
      <w:pPr>
        <w:pStyle w:val="ActHead5"/>
      </w:pPr>
      <w:bookmarkStart w:id="171" w:name="_Toc198225054"/>
      <w:r w:rsidRPr="00D525A4">
        <w:rPr>
          <w:rStyle w:val="CharSectno"/>
        </w:rPr>
        <w:t>8</w:t>
      </w:r>
      <w:r w:rsidR="00D525A4">
        <w:rPr>
          <w:rStyle w:val="CharSectno"/>
        </w:rPr>
        <w:noBreakHyphen/>
      </w:r>
      <w:r w:rsidRPr="00D525A4">
        <w:rPr>
          <w:rStyle w:val="CharSectno"/>
        </w:rPr>
        <w:t>7</w:t>
      </w:r>
      <w:r w:rsidR="00CA5539" w:rsidRPr="00D525A4">
        <w:t xml:space="preserve">  Reports of threshold transactions—information about the customer and other persons</w:t>
      </w:r>
      <w:bookmarkEnd w:id="171"/>
    </w:p>
    <w:p w14:paraId="7DDDC800" w14:textId="77777777" w:rsidR="00CA5539" w:rsidRPr="00D525A4" w:rsidRDefault="00CA5539" w:rsidP="00CA5539">
      <w:pPr>
        <w:pStyle w:val="SubsectionHead"/>
      </w:pPr>
      <w:r w:rsidRPr="00D525A4">
        <w:t>Information about individual customer</w:t>
      </w:r>
    </w:p>
    <w:p w14:paraId="404EB64A" w14:textId="1C6019E1" w:rsidR="00CA5539" w:rsidRPr="00D525A4" w:rsidRDefault="00CA5539" w:rsidP="00CA5539">
      <w:pPr>
        <w:pStyle w:val="subsection"/>
      </w:pPr>
      <w:r w:rsidRPr="00D525A4">
        <w:tab/>
        <w:t>(1)</w:t>
      </w:r>
      <w:r w:rsidRPr="00D525A4">
        <w:tab/>
        <w:t xml:space="preserve">If the customer to whom the service was provided is an individual, the report must contain the following information </w:t>
      </w:r>
      <w:r w:rsidR="00052B29" w:rsidRPr="00D525A4">
        <w:t>(</w:t>
      </w:r>
      <w:r w:rsidRPr="00D525A4">
        <w:t>as applicable and to the extent that the information is known</w:t>
      </w:r>
      <w:r w:rsidR="00052B29" w:rsidRPr="00D525A4">
        <w:t>)</w:t>
      </w:r>
      <w:r w:rsidRPr="00D525A4">
        <w:t>:</w:t>
      </w:r>
    </w:p>
    <w:p w14:paraId="26B40C53" w14:textId="77777777" w:rsidR="00CA5539" w:rsidRPr="00D525A4" w:rsidRDefault="00CA5539" w:rsidP="00CA5539">
      <w:pPr>
        <w:pStyle w:val="paragraph"/>
      </w:pPr>
      <w:r w:rsidRPr="00D525A4">
        <w:tab/>
        <w:t>(a)</w:t>
      </w:r>
      <w:r w:rsidRPr="00D525A4">
        <w:tab/>
        <w:t>the customer’s full name;</w:t>
      </w:r>
    </w:p>
    <w:p w14:paraId="6449A504" w14:textId="02E8C34C" w:rsidR="00CA5539" w:rsidRPr="00D525A4" w:rsidRDefault="00CA5539" w:rsidP="00CA5539">
      <w:pPr>
        <w:pStyle w:val="paragraph"/>
      </w:pPr>
      <w:r w:rsidRPr="00D525A4">
        <w:tab/>
        <w:t>(b)</w:t>
      </w:r>
      <w:r w:rsidRPr="00D525A4">
        <w:tab/>
        <w:t xml:space="preserve">other names used by the customer (such as a nickname, </w:t>
      </w:r>
      <w:r w:rsidR="00396AE2" w:rsidRPr="00D525A4">
        <w:t>former</w:t>
      </w:r>
      <w:r w:rsidRPr="00D525A4">
        <w:t xml:space="preserve"> name or business name);</w:t>
      </w:r>
    </w:p>
    <w:p w14:paraId="784C74A0" w14:textId="77777777" w:rsidR="00CA5539" w:rsidRPr="00D525A4" w:rsidRDefault="00CA5539" w:rsidP="00CA5539">
      <w:pPr>
        <w:pStyle w:val="paragraph"/>
      </w:pPr>
      <w:r w:rsidRPr="00D525A4">
        <w:tab/>
        <w:t>(c)</w:t>
      </w:r>
      <w:r w:rsidRPr="00D525A4">
        <w:tab/>
        <w:t>the customer’s date of birth;</w:t>
      </w:r>
    </w:p>
    <w:p w14:paraId="282306BA" w14:textId="77777777" w:rsidR="00CA5539" w:rsidRPr="00D525A4" w:rsidRDefault="00CA5539" w:rsidP="00CA5539">
      <w:pPr>
        <w:pStyle w:val="paragraph"/>
      </w:pPr>
      <w:r w:rsidRPr="00D525A4">
        <w:tab/>
        <w:t>(d)</w:t>
      </w:r>
      <w:r w:rsidRPr="00D525A4">
        <w:tab/>
        <w:t>the customer’s place of birth;</w:t>
      </w:r>
    </w:p>
    <w:p w14:paraId="62C5D6EC" w14:textId="77777777" w:rsidR="00CA5539" w:rsidRPr="00D525A4" w:rsidRDefault="00CA5539" w:rsidP="00CA5539">
      <w:pPr>
        <w:pStyle w:val="paragraph"/>
      </w:pPr>
      <w:r w:rsidRPr="00D525A4">
        <w:tab/>
        <w:t>(e)</w:t>
      </w:r>
      <w:r w:rsidRPr="00D525A4">
        <w:tab/>
        <w:t>the customer’s gender;</w:t>
      </w:r>
    </w:p>
    <w:p w14:paraId="5AD31544" w14:textId="77777777" w:rsidR="00CA5539" w:rsidRPr="00D525A4" w:rsidRDefault="00CA5539" w:rsidP="00CA5539">
      <w:pPr>
        <w:pStyle w:val="paragraph"/>
      </w:pPr>
      <w:r w:rsidRPr="00D525A4">
        <w:tab/>
        <w:t>(f)</w:t>
      </w:r>
      <w:r w:rsidRPr="00D525A4">
        <w:tab/>
        <w:t>the country or countries of which the customer is a citizen;</w:t>
      </w:r>
    </w:p>
    <w:p w14:paraId="6EE3C35E" w14:textId="77777777" w:rsidR="00CA5539" w:rsidRPr="00D525A4" w:rsidRDefault="00CA5539" w:rsidP="00CA5539">
      <w:pPr>
        <w:pStyle w:val="paragraph"/>
      </w:pPr>
      <w:r w:rsidRPr="00D525A4">
        <w:tab/>
        <w:t>(g)</w:t>
      </w:r>
      <w:r w:rsidRPr="00D525A4">
        <w:tab/>
        <w:t>the country or countries the customer is treated as being a resident of for the purposes of that country’s tax laws.</w:t>
      </w:r>
    </w:p>
    <w:p w14:paraId="32CADC0B" w14:textId="77777777" w:rsidR="00CA5539" w:rsidRPr="00D525A4" w:rsidRDefault="00CA5539" w:rsidP="00CA5539">
      <w:pPr>
        <w:pStyle w:val="paragraph"/>
      </w:pPr>
      <w:r w:rsidRPr="00D525A4">
        <w:tab/>
        <w:t>(h)</w:t>
      </w:r>
      <w:r w:rsidRPr="00D525A4">
        <w:tab/>
        <w:t>the customer’s residential address;</w:t>
      </w:r>
    </w:p>
    <w:p w14:paraId="2B68653E" w14:textId="77777777" w:rsidR="00CA5539" w:rsidRPr="00D525A4" w:rsidRDefault="00CA5539" w:rsidP="00CA5539">
      <w:pPr>
        <w:pStyle w:val="paragraph"/>
      </w:pPr>
      <w:r w:rsidRPr="00D525A4">
        <w:tab/>
        <w:t>(i)</w:t>
      </w:r>
      <w:r w:rsidRPr="00D525A4">
        <w:tab/>
        <w:t>the customer’s business addresses and postal addresses;</w:t>
      </w:r>
    </w:p>
    <w:p w14:paraId="5F00CDCB" w14:textId="77777777" w:rsidR="00CA5539" w:rsidRPr="00D525A4" w:rsidRDefault="00CA5539" w:rsidP="00CA5539">
      <w:pPr>
        <w:pStyle w:val="paragraph"/>
      </w:pPr>
      <w:r w:rsidRPr="00D525A4">
        <w:tab/>
        <w:t>(j)</w:t>
      </w:r>
      <w:r w:rsidRPr="00D525A4">
        <w:tab/>
        <w:t>the customer’s telephone number;</w:t>
      </w:r>
    </w:p>
    <w:p w14:paraId="3CE3CF85" w14:textId="77777777" w:rsidR="00CA5539" w:rsidRPr="00D525A4" w:rsidRDefault="00CA5539" w:rsidP="00CA5539">
      <w:pPr>
        <w:pStyle w:val="paragraph"/>
      </w:pPr>
      <w:r w:rsidRPr="00D525A4">
        <w:tab/>
        <w:t>(k)</w:t>
      </w:r>
      <w:r w:rsidRPr="00D525A4">
        <w:tab/>
        <w:t>the customer’s email address;</w:t>
      </w:r>
    </w:p>
    <w:p w14:paraId="0A9CF4F1" w14:textId="77777777" w:rsidR="00CA5539" w:rsidRPr="00D525A4" w:rsidRDefault="00CA5539" w:rsidP="00CA5539">
      <w:pPr>
        <w:pStyle w:val="paragraph"/>
      </w:pPr>
      <w:r w:rsidRPr="00D525A4">
        <w:tab/>
        <w:t>(l)</w:t>
      </w:r>
      <w:r w:rsidRPr="00D525A4">
        <w:tab/>
        <w:t>information on the customer’s occupation, business or principal activity;</w:t>
      </w:r>
    </w:p>
    <w:p w14:paraId="426D69F0" w14:textId="77777777" w:rsidR="00CA5539" w:rsidRPr="00D525A4" w:rsidRDefault="00CA5539" w:rsidP="00CA5539">
      <w:pPr>
        <w:pStyle w:val="paragraph"/>
      </w:pPr>
      <w:r w:rsidRPr="00D525A4">
        <w:tab/>
        <w:t>(m)</w:t>
      </w:r>
      <w:r w:rsidRPr="00D525A4">
        <w:tab/>
        <w:t>a unique identifier for the customer;</w:t>
      </w:r>
    </w:p>
    <w:p w14:paraId="7A85F25A" w14:textId="59E5D6BA" w:rsidR="00CA5539" w:rsidRPr="00D525A4" w:rsidRDefault="00CA5539" w:rsidP="00CA5539">
      <w:pPr>
        <w:pStyle w:val="paragraph"/>
      </w:pPr>
      <w:r w:rsidRPr="00D525A4">
        <w:tab/>
        <w:t>(n)</w:t>
      </w:r>
      <w:r w:rsidRPr="00D525A4">
        <w:tab/>
        <w:t xml:space="preserve">a description of the reliable and independent data used by the reporting entity to verify KYC information relating to the customer in accordance with </w:t>
      </w:r>
      <w:r w:rsidR="009F59ED" w:rsidRPr="00D525A4">
        <w:t>paragraph 2</w:t>
      </w:r>
      <w:r w:rsidRPr="00D525A4">
        <w:t>8(3)(d) of the Act;</w:t>
      </w:r>
    </w:p>
    <w:p w14:paraId="7FAF628C" w14:textId="772656E5" w:rsidR="00CA5539" w:rsidRPr="00D525A4" w:rsidRDefault="00CA5539" w:rsidP="00CA5539">
      <w:pPr>
        <w:pStyle w:val="paragraph"/>
      </w:pPr>
      <w:r w:rsidRPr="00D525A4">
        <w:lastRenderedPageBreak/>
        <w:tab/>
        <w:t>(o)</w:t>
      </w:r>
      <w:r w:rsidRPr="00D525A4">
        <w:tab/>
        <w:t xml:space="preserve">a reference number associated with the customer provided by an accredited entity (within the meaning of the </w:t>
      </w:r>
      <w:r w:rsidRPr="00D525A4">
        <w:rPr>
          <w:i/>
          <w:iCs/>
        </w:rPr>
        <w:t>Digital ID Act 2024</w:t>
      </w:r>
      <w:r w:rsidRPr="00D525A4">
        <w:t xml:space="preserve">) in the course of verifying KYC information relating to the customer in accordance with </w:t>
      </w:r>
      <w:r w:rsidR="009F59ED" w:rsidRPr="00D525A4">
        <w:t>paragraph 2</w:t>
      </w:r>
      <w:r w:rsidRPr="00D525A4">
        <w:t>8(3)(d) of the Act.</w:t>
      </w:r>
    </w:p>
    <w:p w14:paraId="06649ECE" w14:textId="5C15B4FD" w:rsidR="00CA5539" w:rsidRPr="00D525A4" w:rsidRDefault="00CA5539" w:rsidP="00CA5539">
      <w:pPr>
        <w:pStyle w:val="SubsectionHead"/>
      </w:pPr>
      <w:r w:rsidRPr="00D525A4">
        <w:t>Information about non</w:t>
      </w:r>
      <w:r w:rsidR="00D525A4">
        <w:noBreakHyphen/>
      </w:r>
      <w:r w:rsidRPr="00D525A4">
        <w:t>individual customer</w:t>
      </w:r>
    </w:p>
    <w:p w14:paraId="5D2D07BF" w14:textId="18794E72" w:rsidR="00CA5539" w:rsidRPr="00D525A4" w:rsidRDefault="00CA5539" w:rsidP="00CA5539">
      <w:pPr>
        <w:pStyle w:val="subsection"/>
      </w:pPr>
      <w:r w:rsidRPr="00D525A4">
        <w:tab/>
        <w:t>(2)</w:t>
      </w:r>
      <w:r w:rsidRPr="00D525A4">
        <w:tab/>
        <w:t xml:space="preserve">If the customer to whom the service was provided is not an individual, the report must contain the following information </w:t>
      </w:r>
      <w:r w:rsidR="00052B29" w:rsidRPr="00D525A4">
        <w:t>(</w:t>
      </w:r>
      <w:r w:rsidRPr="00D525A4">
        <w:t>as applicable and to the extent that the information is known</w:t>
      </w:r>
      <w:r w:rsidR="00052B29" w:rsidRPr="00D525A4">
        <w:t>)</w:t>
      </w:r>
      <w:r w:rsidRPr="00D525A4">
        <w:t>:</w:t>
      </w:r>
    </w:p>
    <w:p w14:paraId="238F0C18" w14:textId="77777777" w:rsidR="00CA5539" w:rsidRPr="00D525A4" w:rsidRDefault="00CA5539" w:rsidP="00CA5539">
      <w:pPr>
        <w:pStyle w:val="paragraph"/>
      </w:pPr>
      <w:r w:rsidRPr="00D525A4">
        <w:tab/>
        <w:t>(a)</w:t>
      </w:r>
      <w:r w:rsidRPr="00D525A4">
        <w:tab/>
        <w:t>the customer’s full name;</w:t>
      </w:r>
    </w:p>
    <w:p w14:paraId="41CFC92A" w14:textId="77777777" w:rsidR="00CA5539" w:rsidRPr="00D525A4" w:rsidRDefault="00CA5539" w:rsidP="00CA5539">
      <w:pPr>
        <w:pStyle w:val="paragraph"/>
      </w:pPr>
      <w:r w:rsidRPr="00D525A4">
        <w:tab/>
        <w:t>(b)</w:t>
      </w:r>
      <w:r w:rsidRPr="00D525A4">
        <w:tab/>
        <w:t>other names used by the customer (such as a business name);</w:t>
      </w:r>
    </w:p>
    <w:p w14:paraId="5B651EEE" w14:textId="77777777" w:rsidR="00CA5539" w:rsidRPr="00D525A4" w:rsidRDefault="00CA5539" w:rsidP="00CA5539">
      <w:pPr>
        <w:pStyle w:val="paragraph"/>
      </w:pPr>
      <w:r w:rsidRPr="00D525A4">
        <w:tab/>
        <w:t>(c)</w:t>
      </w:r>
      <w:r w:rsidRPr="00D525A4">
        <w:tab/>
        <w:t>the country or countries in which the customer was incorporated, formed or registered;</w:t>
      </w:r>
    </w:p>
    <w:p w14:paraId="51608606" w14:textId="77777777" w:rsidR="00CA5539" w:rsidRPr="00D525A4" w:rsidRDefault="00CA5539" w:rsidP="00CA5539">
      <w:pPr>
        <w:pStyle w:val="paragraph"/>
      </w:pPr>
      <w:r w:rsidRPr="00D525A4">
        <w:tab/>
        <w:t>(d)</w:t>
      </w:r>
      <w:r w:rsidRPr="00D525A4">
        <w:tab/>
        <w:t>the country or countries the customer is treated as being a resident of for the purposes of that country’s tax laws;</w:t>
      </w:r>
    </w:p>
    <w:p w14:paraId="7F026DCA" w14:textId="77777777" w:rsidR="00CA5539" w:rsidRPr="00D525A4" w:rsidRDefault="00CA5539" w:rsidP="00CA5539">
      <w:pPr>
        <w:pStyle w:val="paragraph"/>
      </w:pPr>
      <w:r w:rsidRPr="00D525A4">
        <w:tab/>
        <w:t>(e)</w:t>
      </w:r>
      <w:r w:rsidRPr="00D525A4">
        <w:tab/>
        <w:t>the address of the customer’s registered office;</w:t>
      </w:r>
    </w:p>
    <w:p w14:paraId="1B3AE7E1" w14:textId="77777777" w:rsidR="00CA5539" w:rsidRPr="00D525A4" w:rsidRDefault="00CA5539" w:rsidP="00CA5539">
      <w:pPr>
        <w:pStyle w:val="paragraph"/>
      </w:pPr>
      <w:r w:rsidRPr="00D525A4">
        <w:tab/>
        <w:t>(f)</w:t>
      </w:r>
      <w:r w:rsidRPr="00D525A4">
        <w:tab/>
        <w:t>the address at which the customer’s business or principal activity is conducted;</w:t>
      </w:r>
    </w:p>
    <w:p w14:paraId="3DDE6234" w14:textId="77777777" w:rsidR="00CA5539" w:rsidRPr="00D525A4" w:rsidRDefault="00CA5539" w:rsidP="00CA5539">
      <w:pPr>
        <w:pStyle w:val="paragraph"/>
      </w:pPr>
      <w:r w:rsidRPr="00D525A4">
        <w:tab/>
        <w:t>(g)</w:t>
      </w:r>
      <w:r w:rsidRPr="00D525A4">
        <w:tab/>
        <w:t>the customer’s postal address;</w:t>
      </w:r>
    </w:p>
    <w:p w14:paraId="176A38F7" w14:textId="77777777" w:rsidR="00CA5539" w:rsidRPr="00D525A4" w:rsidRDefault="00CA5539" w:rsidP="00CA5539">
      <w:pPr>
        <w:pStyle w:val="paragraph"/>
      </w:pPr>
      <w:r w:rsidRPr="00D525A4">
        <w:tab/>
        <w:t>(h)</w:t>
      </w:r>
      <w:r w:rsidRPr="00D525A4">
        <w:tab/>
        <w:t>the customer’s telephone number;</w:t>
      </w:r>
    </w:p>
    <w:p w14:paraId="61180790" w14:textId="77777777" w:rsidR="00CA5539" w:rsidRPr="00D525A4" w:rsidRDefault="00CA5539" w:rsidP="00CA5539">
      <w:pPr>
        <w:pStyle w:val="paragraph"/>
      </w:pPr>
      <w:r w:rsidRPr="00D525A4">
        <w:tab/>
        <w:t>(i)</w:t>
      </w:r>
      <w:r w:rsidRPr="00D525A4">
        <w:tab/>
        <w:t>the customer’s email address;</w:t>
      </w:r>
    </w:p>
    <w:p w14:paraId="71E7031D" w14:textId="77777777" w:rsidR="00CA5539" w:rsidRPr="00D525A4" w:rsidRDefault="00CA5539" w:rsidP="00CA5539">
      <w:pPr>
        <w:pStyle w:val="paragraph"/>
      </w:pPr>
      <w:r w:rsidRPr="00D525A4">
        <w:tab/>
        <w:t>(j)</w:t>
      </w:r>
      <w:r w:rsidRPr="00D525A4">
        <w:tab/>
        <w:t>information on the customer’s business or principal activity;</w:t>
      </w:r>
    </w:p>
    <w:p w14:paraId="466F6DA4" w14:textId="77777777" w:rsidR="00CA5539" w:rsidRPr="00D525A4" w:rsidRDefault="00CA5539" w:rsidP="00CA5539">
      <w:pPr>
        <w:pStyle w:val="paragraph"/>
      </w:pPr>
      <w:r w:rsidRPr="00D525A4">
        <w:tab/>
        <w:t>(k)</w:t>
      </w:r>
      <w:r w:rsidRPr="00D525A4">
        <w:tab/>
        <w:t>information about the legal form of the customer (such as a partnership, company or trust);</w:t>
      </w:r>
    </w:p>
    <w:p w14:paraId="3BCDFB07" w14:textId="77777777" w:rsidR="00CA5539" w:rsidRPr="00D525A4" w:rsidRDefault="00CA5539" w:rsidP="00CA5539">
      <w:pPr>
        <w:pStyle w:val="paragraph"/>
      </w:pPr>
      <w:r w:rsidRPr="00D525A4">
        <w:tab/>
        <w:t>(l)</w:t>
      </w:r>
      <w:r w:rsidRPr="00D525A4">
        <w:tab/>
        <w:t>the full names of the customer’s beneficial owners;</w:t>
      </w:r>
    </w:p>
    <w:p w14:paraId="68241C33" w14:textId="11D97D77" w:rsidR="00CA5539" w:rsidRPr="00D525A4" w:rsidRDefault="00CA5539" w:rsidP="00CA5539">
      <w:pPr>
        <w:pStyle w:val="paragraph"/>
      </w:pPr>
      <w:r w:rsidRPr="00D525A4">
        <w:tab/>
        <w:t>(m)</w:t>
      </w:r>
      <w:r w:rsidRPr="00D525A4">
        <w:tab/>
        <w:t xml:space="preserve">if the customer is a body corporate—the full name and director identification number (within the meaning of the </w:t>
      </w:r>
      <w:r w:rsidRPr="00D525A4">
        <w:rPr>
          <w:i/>
          <w:iCs/>
        </w:rPr>
        <w:t>Corporations Act 2001</w:t>
      </w:r>
      <w:r w:rsidRPr="00D525A4">
        <w:t xml:space="preserve">) </w:t>
      </w:r>
      <w:r w:rsidR="00B0121F" w:rsidRPr="00D525A4">
        <w:t xml:space="preserve">(if any) </w:t>
      </w:r>
      <w:r w:rsidRPr="00D525A4">
        <w:t xml:space="preserve">of </w:t>
      </w:r>
      <w:r w:rsidR="00B0121F" w:rsidRPr="00D525A4">
        <w:t>each</w:t>
      </w:r>
      <w:r w:rsidRPr="00D525A4">
        <w:t xml:space="preserve"> eligible officer (within the meaning of the </w:t>
      </w:r>
      <w:r w:rsidRPr="00D525A4">
        <w:rPr>
          <w:i/>
          <w:iCs/>
        </w:rPr>
        <w:t>Corporations Act 2001</w:t>
      </w:r>
      <w:r w:rsidRPr="00D525A4">
        <w:t>) of the customer;</w:t>
      </w:r>
    </w:p>
    <w:p w14:paraId="4C5AB681" w14:textId="51C99C73" w:rsidR="00CA5539" w:rsidRPr="00D525A4" w:rsidRDefault="00CA5539" w:rsidP="00CA5539">
      <w:pPr>
        <w:pStyle w:val="paragraph"/>
      </w:pPr>
      <w:r w:rsidRPr="00D525A4">
        <w:tab/>
        <w:t>(n)</w:t>
      </w:r>
      <w:r w:rsidRPr="00D525A4">
        <w:tab/>
        <w:t>if the customer is an express trust, the following information:</w:t>
      </w:r>
    </w:p>
    <w:p w14:paraId="4F1854DE" w14:textId="1C66616B" w:rsidR="00CA5539" w:rsidRPr="00D525A4" w:rsidRDefault="00CA5539" w:rsidP="00CA5539">
      <w:pPr>
        <w:pStyle w:val="paragraphsub"/>
        <w:rPr>
          <w:i/>
          <w:iCs/>
        </w:rPr>
      </w:pPr>
      <w:r w:rsidRPr="00D525A4">
        <w:tab/>
        <w:t>(i)</w:t>
      </w:r>
      <w:r w:rsidRPr="00D525A4">
        <w:tab/>
        <w:t xml:space="preserve">the </w:t>
      </w:r>
      <w:r w:rsidR="00E74174" w:rsidRPr="00D525A4">
        <w:t>kind</w:t>
      </w:r>
      <w:r w:rsidRPr="00D525A4">
        <w:t xml:space="preserve"> of trust (such as discretionary trust, bare trust, or unit trust)</w:t>
      </w:r>
      <w:r w:rsidRPr="00D525A4">
        <w:rPr>
          <w:i/>
          <w:iCs/>
        </w:rPr>
        <w:t>;</w:t>
      </w:r>
    </w:p>
    <w:p w14:paraId="737CB8F7" w14:textId="77777777" w:rsidR="00CA5539" w:rsidRPr="00D525A4" w:rsidRDefault="00CA5539" w:rsidP="00CA5539">
      <w:pPr>
        <w:pStyle w:val="paragraphsub"/>
      </w:pPr>
      <w:r w:rsidRPr="00D525A4">
        <w:tab/>
        <w:t>(ii)</w:t>
      </w:r>
      <w:r w:rsidRPr="00D525A4">
        <w:tab/>
        <w:t>the full name of the trustee;</w:t>
      </w:r>
    </w:p>
    <w:p w14:paraId="12D0C04A" w14:textId="77777777" w:rsidR="00CA5539" w:rsidRPr="00D525A4" w:rsidRDefault="00CA5539" w:rsidP="00CA5539">
      <w:pPr>
        <w:pStyle w:val="paragraphsub"/>
      </w:pPr>
      <w:r w:rsidRPr="00D525A4">
        <w:tab/>
        <w:t>(iii)</w:t>
      </w:r>
      <w:r w:rsidRPr="00D525A4">
        <w:tab/>
        <w:t>the full name of any settlor, appointor, guardian or protector of the trust;</w:t>
      </w:r>
    </w:p>
    <w:p w14:paraId="6D6D815D" w14:textId="493943BF" w:rsidR="00CA5539" w:rsidRPr="00D525A4" w:rsidRDefault="00CA5539" w:rsidP="00CA5539">
      <w:pPr>
        <w:pStyle w:val="paragraphsub"/>
      </w:pPr>
      <w:r w:rsidRPr="00D525A4">
        <w:tab/>
        <w:t>(iv)</w:t>
      </w:r>
      <w:r w:rsidRPr="00D525A4">
        <w:tab/>
        <w:t>the full names of the beneficiaries of the trust, or if it is not possible to identify each beneficiary because of the nature of the trust</w:t>
      </w:r>
      <w:r w:rsidR="00DD2B51" w:rsidRPr="00D525A4">
        <w:t>,</w:t>
      </w:r>
      <w:r w:rsidRPr="00D525A4">
        <w:t xml:space="preserve"> a description of each class of beneficiary;</w:t>
      </w:r>
    </w:p>
    <w:p w14:paraId="1D08CC9E" w14:textId="77777777" w:rsidR="00CA5539" w:rsidRPr="00D525A4" w:rsidRDefault="00CA5539" w:rsidP="00CA5539">
      <w:pPr>
        <w:pStyle w:val="paragraph"/>
      </w:pPr>
      <w:r w:rsidRPr="00D525A4">
        <w:tab/>
        <w:t>(o)</w:t>
      </w:r>
      <w:r w:rsidRPr="00D525A4">
        <w:tab/>
        <w:t>a unique identifier for the customer;</w:t>
      </w:r>
    </w:p>
    <w:p w14:paraId="759E7860" w14:textId="032C86FF" w:rsidR="00CA5539" w:rsidRPr="00D525A4" w:rsidRDefault="00CA5539" w:rsidP="00CA5539">
      <w:pPr>
        <w:pStyle w:val="paragraph"/>
      </w:pPr>
      <w:r w:rsidRPr="00D525A4">
        <w:tab/>
        <w:t>(p)</w:t>
      </w:r>
      <w:r w:rsidRPr="00D525A4">
        <w:tab/>
        <w:t xml:space="preserve">a description of the reliable and independent data used by the reporting entity to verify KYC information relating to the customer in accordance with </w:t>
      </w:r>
      <w:r w:rsidR="009F59ED" w:rsidRPr="00D525A4">
        <w:t>paragraph 2</w:t>
      </w:r>
      <w:r w:rsidRPr="00D525A4">
        <w:t>8(3)(d) of the Act.</w:t>
      </w:r>
    </w:p>
    <w:p w14:paraId="5B7CF6CE" w14:textId="77777777" w:rsidR="00CA5539" w:rsidRPr="00D525A4" w:rsidRDefault="00CA5539" w:rsidP="00CA5539">
      <w:pPr>
        <w:pStyle w:val="SubsectionHead"/>
      </w:pPr>
      <w:r w:rsidRPr="00D525A4">
        <w:t>Information about other persons</w:t>
      </w:r>
    </w:p>
    <w:p w14:paraId="64152775" w14:textId="02E5D0F0" w:rsidR="00CA5539" w:rsidRPr="00D525A4" w:rsidRDefault="00CA5539" w:rsidP="00CA5539">
      <w:pPr>
        <w:pStyle w:val="subsection"/>
      </w:pPr>
      <w:r w:rsidRPr="00D525A4">
        <w:tab/>
        <w:t>(3)</w:t>
      </w:r>
      <w:r w:rsidRPr="00D525A4">
        <w:tab/>
        <w:t xml:space="preserve">The report must contain the same information (as applicable and to the extent known) about the identity of the transferor or transferee in the transaction, other </w:t>
      </w:r>
      <w:r w:rsidRPr="00D525A4">
        <w:lastRenderedPageBreak/>
        <w:t xml:space="preserve">than the customer, that would be required by </w:t>
      </w:r>
      <w:r w:rsidR="009F59ED" w:rsidRPr="00D525A4">
        <w:t>subsection (</w:t>
      </w:r>
      <w:r w:rsidRPr="00D525A4">
        <w:t>1) or (2) if the transferor or transferee were the customer.</w:t>
      </w:r>
    </w:p>
    <w:p w14:paraId="31998A49" w14:textId="56891800" w:rsidR="00CA5539" w:rsidRPr="00D525A4" w:rsidRDefault="00CA5539" w:rsidP="00CA5539">
      <w:pPr>
        <w:pStyle w:val="subsection"/>
      </w:pPr>
      <w:r w:rsidRPr="00D525A4">
        <w:tab/>
        <w:t>(4)</w:t>
      </w:r>
      <w:r w:rsidRPr="00D525A4">
        <w:tab/>
        <w:t xml:space="preserve">If the customer received the designated service on behalf of another person, the report must contain the same information about the identity of the other person that would be required by </w:t>
      </w:r>
      <w:r w:rsidR="009F59ED" w:rsidRPr="00D525A4">
        <w:t>subsection (</w:t>
      </w:r>
      <w:r w:rsidRPr="00D525A4">
        <w:t>1) or (2) if the other person were the customer.</w:t>
      </w:r>
    </w:p>
    <w:p w14:paraId="6A5AD19C" w14:textId="5C123EE3" w:rsidR="00CA5539" w:rsidRPr="00D525A4" w:rsidRDefault="00CA5539" w:rsidP="00CA5539">
      <w:pPr>
        <w:pStyle w:val="subsection"/>
      </w:pPr>
      <w:r w:rsidRPr="00D525A4">
        <w:tab/>
        <w:t>(5)</w:t>
      </w:r>
      <w:r w:rsidRPr="00D525A4">
        <w:tab/>
        <w:t>If the customer was represented in relation to the provision of the designated service</w:t>
      </w:r>
      <w:r w:rsidRPr="00D525A4">
        <w:rPr>
          <w:i/>
          <w:iCs/>
        </w:rPr>
        <w:t xml:space="preserve"> </w:t>
      </w:r>
      <w:r w:rsidRPr="00D525A4">
        <w:t>by a</w:t>
      </w:r>
      <w:r w:rsidR="00826A38" w:rsidRPr="00D525A4">
        <w:t>n</w:t>
      </w:r>
      <w:r w:rsidRPr="00D525A4">
        <w:t xml:space="preserve">other person authorised to act on behalf of the customer, the report must (subject to </w:t>
      </w:r>
      <w:r w:rsidR="0013261E" w:rsidRPr="00D525A4">
        <w:t>subsections (</w:t>
      </w:r>
      <w:r w:rsidRPr="00D525A4">
        <w:t>6) and (7)) contain the following information:</w:t>
      </w:r>
    </w:p>
    <w:p w14:paraId="39283C44" w14:textId="77777777" w:rsidR="00CA5539" w:rsidRPr="00D525A4" w:rsidRDefault="00CA5539" w:rsidP="00CA5539">
      <w:pPr>
        <w:pStyle w:val="paragraph"/>
      </w:pPr>
      <w:r w:rsidRPr="00D525A4">
        <w:tab/>
        <w:t>(a)</w:t>
      </w:r>
      <w:r w:rsidRPr="00D525A4">
        <w:tab/>
        <w:t>a description of the relationship between the person and the customer;</w:t>
      </w:r>
    </w:p>
    <w:p w14:paraId="579CDA70" w14:textId="77777777" w:rsidR="00CA5539" w:rsidRPr="00D525A4" w:rsidRDefault="00CA5539" w:rsidP="00CA5539">
      <w:pPr>
        <w:pStyle w:val="paragraph"/>
      </w:pPr>
      <w:r w:rsidRPr="00D525A4">
        <w:tab/>
        <w:t>(b)</w:t>
      </w:r>
      <w:r w:rsidRPr="00D525A4">
        <w:tab/>
        <w:t>a description of the authority for the person to act on behalf of the customer;</w:t>
      </w:r>
    </w:p>
    <w:p w14:paraId="3774DD72" w14:textId="67D9D1BB" w:rsidR="00CA5539" w:rsidRPr="00D525A4" w:rsidRDefault="00CA5539" w:rsidP="00CA5539">
      <w:pPr>
        <w:pStyle w:val="paragraph"/>
      </w:pPr>
      <w:r w:rsidRPr="00D525A4">
        <w:tab/>
        <w:t>(c)</w:t>
      </w:r>
      <w:r w:rsidRPr="00D525A4">
        <w:tab/>
        <w:t xml:space="preserve">the information about the identity of the person that would be required by </w:t>
      </w:r>
      <w:r w:rsidR="009F59ED" w:rsidRPr="00D525A4">
        <w:t>subsection (</w:t>
      </w:r>
      <w:r w:rsidRPr="00D525A4">
        <w:t>1) or (2) if the person were the customer.</w:t>
      </w:r>
    </w:p>
    <w:p w14:paraId="17EB4EDD" w14:textId="382020D4" w:rsidR="00CA5539" w:rsidRPr="00D525A4" w:rsidRDefault="00CA5539" w:rsidP="00CA5539">
      <w:pPr>
        <w:pStyle w:val="subsection"/>
      </w:pPr>
      <w:r w:rsidRPr="00D525A4">
        <w:tab/>
        <w:t>(6)</w:t>
      </w:r>
      <w:r w:rsidRPr="00D525A4">
        <w:tab/>
      </w:r>
      <w:r w:rsidR="0013261E" w:rsidRPr="00D525A4">
        <w:t>Subsection (</w:t>
      </w:r>
      <w:r w:rsidRPr="00D525A4">
        <w:t>5) does not apply if the customer was represented by a person in either of the following circumstances:</w:t>
      </w:r>
    </w:p>
    <w:p w14:paraId="393D225E" w14:textId="77777777" w:rsidR="00CA5539" w:rsidRPr="00D525A4" w:rsidRDefault="00CA5539" w:rsidP="00CA5539">
      <w:pPr>
        <w:pStyle w:val="paragraph"/>
      </w:pPr>
      <w:r w:rsidRPr="00D525A4">
        <w:tab/>
        <w:t>(a)</w:t>
      </w:r>
      <w:r w:rsidRPr="00D525A4">
        <w:tab/>
        <w:t>the threshold transaction was a deposit in circumstances where there was no personal contact (such as using an automated teller machine or express deposit facility);</w:t>
      </w:r>
    </w:p>
    <w:p w14:paraId="795C3ED2" w14:textId="77777777" w:rsidR="00CA5539" w:rsidRPr="00D525A4" w:rsidRDefault="00CA5539" w:rsidP="00CA5539">
      <w:pPr>
        <w:pStyle w:val="paragraph"/>
      </w:pPr>
      <w:r w:rsidRPr="00D525A4">
        <w:tab/>
        <w:t>(b)</w:t>
      </w:r>
      <w:r w:rsidRPr="00D525A4">
        <w:tab/>
        <w:t>the person was acting in the course of a business of collecting, holding or delivering physical currency (such as payroll or cash courier services, but not including collection of donations for a registered charity).</w:t>
      </w:r>
    </w:p>
    <w:p w14:paraId="62E2F3DA" w14:textId="570744B5" w:rsidR="00CA5539" w:rsidRPr="00D525A4" w:rsidRDefault="00CA5539" w:rsidP="00CA5539">
      <w:pPr>
        <w:pStyle w:val="subsection"/>
        <w:rPr>
          <w:i/>
          <w:iCs/>
        </w:rPr>
      </w:pPr>
      <w:r w:rsidRPr="00D525A4">
        <w:tab/>
        <w:t>(7)</w:t>
      </w:r>
      <w:r w:rsidRPr="00D525A4">
        <w:tab/>
        <w:t xml:space="preserve">If </w:t>
      </w:r>
      <w:r w:rsidR="009F59ED" w:rsidRPr="00D525A4">
        <w:t>subsection (</w:t>
      </w:r>
      <w:r w:rsidRPr="00D525A4">
        <w:t xml:space="preserve">5) does not apply because the designated service occurred in the circumstances mentioned in </w:t>
      </w:r>
      <w:r w:rsidR="009F59ED" w:rsidRPr="00D525A4">
        <w:t>paragraph (</w:t>
      </w:r>
      <w:r w:rsidR="00DD2B51" w:rsidRPr="00D525A4">
        <w:t>6</w:t>
      </w:r>
      <w:r w:rsidRPr="00D525A4">
        <w:t xml:space="preserve">)(a) or (b), the report must </w:t>
      </w:r>
      <w:r w:rsidR="00DD2B51" w:rsidRPr="00D525A4">
        <w:t>contain</w:t>
      </w:r>
      <w:r w:rsidRPr="00D525A4">
        <w:t xml:space="preserve"> a statement as to the circumstances of the designated service.</w:t>
      </w:r>
    </w:p>
    <w:p w14:paraId="37B1CBE3" w14:textId="0092D6A2" w:rsidR="00CA5539" w:rsidRPr="00D525A4" w:rsidRDefault="00EC097E" w:rsidP="00CA5539">
      <w:pPr>
        <w:pStyle w:val="ActHead5"/>
      </w:pPr>
      <w:bookmarkStart w:id="172" w:name="_Toc198225055"/>
      <w:r w:rsidRPr="00D525A4">
        <w:rPr>
          <w:rStyle w:val="CharSectno"/>
        </w:rPr>
        <w:t>8</w:t>
      </w:r>
      <w:r w:rsidR="00D525A4">
        <w:rPr>
          <w:rStyle w:val="CharSectno"/>
        </w:rPr>
        <w:noBreakHyphen/>
      </w:r>
      <w:r w:rsidRPr="00D525A4">
        <w:rPr>
          <w:rStyle w:val="CharSectno"/>
        </w:rPr>
        <w:t>8</w:t>
      </w:r>
      <w:r w:rsidR="00CA5539" w:rsidRPr="00D525A4">
        <w:t xml:space="preserve">  Reports of threshold transactions—information about the transaction</w:t>
      </w:r>
      <w:bookmarkEnd w:id="172"/>
    </w:p>
    <w:p w14:paraId="3AE78733" w14:textId="77777777" w:rsidR="00CA5539" w:rsidRPr="00D525A4" w:rsidRDefault="00CA5539" w:rsidP="00CA5539">
      <w:pPr>
        <w:pStyle w:val="SubsectionHead"/>
      </w:pPr>
      <w:r w:rsidRPr="00D525A4">
        <w:t>Standard information</w:t>
      </w:r>
    </w:p>
    <w:p w14:paraId="5F3A9128" w14:textId="77777777" w:rsidR="00CA5539" w:rsidRPr="00D525A4" w:rsidRDefault="00CA5539" w:rsidP="00CA5539">
      <w:pPr>
        <w:pStyle w:val="subsection"/>
      </w:pPr>
      <w:r w:rsidRPr="00D525A4">
        <w:tab/>
        <w:t>(1)</w:t>
      </w:r>
      <w:r w:rsidRPr="00D525A4">
        <w:tab/>
        <w:t>The report must contain the following information about the threshold transaction:</w:t>
      </w:r>
    </w:p>
    <w:p w14:paraId="64DF9F5E" w14:textId="77777777" w:rsidR="00CA5539" w:rsidRPr="00D525A4" w:rsidRDefault="00CA5539" w:rsidP="00CA5539">
      <w:pPr>
        <w:pStyle w:val="paragraph"/>
      </w:pPr>
      <w:r w:rsidRPr="00D525A4">
        <w:tab/>
        <w:t>(a)</w:t>
      </w:r>
      <w:r w:rsidRPr="00D525A4">
        <w:tab/>
        <w:t>the date and time (including time zone) when the transaction took place;</w:t>
      </w:r>
    </w:p>
    <w:p w14:paraId="71F1D24E" w14:textId="77777777" w:rsidR="00CA5539" w:rsidRPr="00D525A4" w:rsidRDefault="00CA5539" w:rsidP="00CA5539">
      <w:pPr>
        <w:pStyle w:val="paragraph"/>
      </w:pPr>
      <w:r w:rsidRPr="00D525A4">
        <w:tab/>
        <w:t>(b)</w:t>
      </w:r>
      <w:r w:rsidRPr="00D525A4">
        <w:tab/>
        <w:t>the address or location where the transaction took place;</w:t>
      </w:r>
    </w:p>
    <w:p w14:paraId="651DEF86" w14:textId="77777777" w:rsidR="00CA5539" w:rsidRPr="00D525A4" w:rsidRDefault="00CA5539" w:rsidP="00CA5539">
      <w:pPr>
        <w:pStyle w:val="paragraph"/>
      </w:pPr>
      <w:r w:rsidRPr="00D525A4">
        <w:tab/>
        <w:t>(c)</w:t>
      </w:r>
      <w:r w:rsidRPr="00D525A4">
        <w:tab/>
        <w:t>a description of the purpose of the transaction (to the extent known);</w:t>
      </w:r>
    </w:p>
    <w:p w14:paraId="487AC4D1" w14:textId="77777777" w:rsidR="00CA5539" w:rsidRPr="00D525A4" w:rsidRDefault="00CA5539" w:rsidP="00CA5539">
      <w:pPr>
        <w:pStyle w:val="paragraph"/>
      </w:pPr>
      <w:r w:rsidRPr="00D525A4">
        <w:tab/>
        <w:t>(d)</w:t>
      </w:r>
      <w:r w:rsidRPr="00D525A4">
        <w:tab/>
        <w:t>the kind of designated service that was provided and that involved the transaction;</w:t>
      </w:r>
    </w:p>
    <w:p w14:paraId="28DD574D" w14:textId="77777777" w:rsidR="00CA5539" w:rsidRPr="00D525A4" w:rsidRDefault="00CA5539" w:rsidP="00CA5539">
      <w:pPr>
        <w:pStyle w:val="paragraph"/>
      </w:pPr>
      <w:r w:rsidRPr="00D525A4">
        <w:tab/>
        <w:t>(e)</w:t>
      </w:r>
      <w:r w:rsidRPr="00D525A4">
        <w:tab/>
        <w:t>the reporting entity’s reference number relating to the provision of the designated service that involved the transaction (including but not limited to a transaction reference number);</w:t>
      </w:r>
    </w:p>
    <w:p w14:paraId="4E6AE27D" w14:textId="77777777" w:rsidR="00CA5539" w:rsidRPr="00D525A4" w:rsidRDefault="00CA5539" w:rsidP="00CA5539">
      <w:pPr>
        <w:pStyle w:val="paragraph"/>
      </w:pPr>
      <w:r w:rsidRPr="00D525A4">
        <w:tab/>
        <w:t>(f)</w:t>
      </w:r>
      <w:r w:rsidRPr="00D525A4">
        <w:tab/>
        <w:t>the value, in Australian dollars, of the physical currency involved in the transaction;</w:t>
      </w:r>
    </w:p>
    <w:p w14:paraId="757FB41E" w14:textId="39FA1016" w:rsidR="00CA5539" w:rsidRPr="00D525A4" w:rsidRDefault="00CA5539" w:rsidP="00CA5539">
      <w:pPr>
        <w:pStyle w:val="paragraph"/>
      </w:pPr>
      <w:r w:rsidRPr="00D525A4">
        <w:tab/>
        <w:t>(g)</w:t>
      </w:r>
      <w:r w:rsidRPr="00D525A4">
        <w:tab/>
        <w:t xml:space="preserve">if the transaction involves foreign currency—the </w:t>
      </w:r>
      <w:r w:rsidR="00E74174" w:rsidRPr="00D525A4">
        <w:t>kind</w:t>
      </w:r>
      <w:r w:rsidRPr="00D525A4">
        <w:t xml:space="preserve"> and amount of the foreign currency involved and the exchange rate used.</w:t>
      </w:r>
    </w:p>
    <w:p w14:paraId="3F2DD384" w14:textId="77777777" w:rsidR="00CA5539" w:rsidRPr="00D525A4" w:rsidRDefault="00CA5539" w:rsidP="00CA5539">
      <w:pPr>
        <w:pStyle w:val="SubsectionHead"/>
      </w:pPr>
      <w:r w:rsidRPr="00D525A4">
        <w:lastRenderedPageBreak/>
        <w:t>Information about an account</w:t>
      </w:r>
    </w:p>
    <w:p w14:paraId="5C184917" w14:textId="77777777" w:rsidR="00CA5539" w:rsidRPr="00D525A4" w:rsidRDefault="00CA5539" w:rsidP="00CA5539">
      <w:pPr>
        <w:pStyle w:val="subsection"/>
      </w:pPr>
      <w:r w:rsidRPr="00D525A4">
        <w:tab/>
        <w:t>(2)</w:t>
      </w:r>
      <w:r w:rsidRPr="00D525A4">
        <w:tab/>
        <w:t>If the threshold transaction involves an account provided by the reporting entity or another person, the report must contain the following information about the account (as applicable and to the extent the information is known):</w:t>
      </w:r>
    </w:p>
    <w:p w14:paraId="2AB8E4E7" w14:textId="77777777" w:rsidR="00CA5539" w:rsidRPr="00D525A4" w:rsidRDefault="00CA5539" w:rsidP="00CA5539">
      <w:pPr>
        <w:pStyle w:val="paragraph"/>
      </w:pPr>
      <w:r w:rsidRPr="00D525A4">
        <w:tab/>
        <w:t>(a)</w:t>
      </w:r>
      <w:r w:rsidRPr="00D525A4">
        <w:tab/>
        <w:t>the name of the person providing the account;</w:t>
      </w:r>
    </w:p>
    <w:p w14:paraId="12323AD4" w14:textId="77777777" w:rsidR="00CA5539" w:rsidRPr="00D525A4" w:rsidRDefault="00CA5539" w:rsidP="00CA5539">
      <w:pPr>
        <w:pStyle w:val="paragraph"/>
      </w:pPr>
      <w:r w:rsidRPr="00D525A4">
        <w:tab/>
        <w:t>(b)</w:t>
      </w:r>
      <w:r w:rsidRPr="00D525A4">
        <w:tab/>
        <w:t>the full name of each account holder;</w:t>
      </w:r>
    </w:p>
    <w:p w14:paraId="2C078061" w14:textId="20AAAAA5" w:rsidR="00CA5539" w:rsidRPr="00D525A4" w:rsidRDefault="00CA5539" w:rsidP="00CA5539">
      <w:pPr>
        <w:pStyle w:val="paragraph"/>
      </w:pPr>
      <w:r w:rsidRPr="00D525A4">
        <w:tab/>
        <w:t>(c)</w:t>
      </w:r>
      <w:r w:rsidRPr="00D525A4">
        <w:tab/>
        <w:t>the</w:t>
      </w:r>
      <w:r w:rsidR="00E74174" w:rsidRPr="00D525A4">
        <w:t xml:space="preserve"> kind</w:t>
      </w:r>
      <w:r w:rsidRPr="00D525A4">
        <w:t xml:space="preserve"> of account (such as a savings accounts, loan account or credit card account);</w:t>
      </w:r>
    </w:p>
    <w:p w14:paraId="36D4C6E8" w14:textId="77777777" w:rsidR="00CA5539" w:rsidRPr="00D525A4" w:rsidRDefault="00CA5539" w:rsidP="00CA5539">
      <w:pPr>
        <w:pStyle w:val="paragraph"/>
      </w:pPr>
      <w:r w:rsidRPr="00D525A4">
        <w:tab/>
        <w:t>(d)</w:t>
      </w:r>
      <w:r w:rsidRPr="00D525A4">
        <w:tab/>
        <w:t>the unique identification details assigned to the account (such as the BSB and account number);</w:t>
      </w:r>
    </w:p>
    <w:p w14:paraId="1BDF7891" w14:textId="77777777" w:rsidR="00CA5539" w:rsidRPr="00D525A4" w:rsidRDefault="00CA5539" w:rsidP="00CA5539">
      <w:pPr>
        <w:pStyle w:val="paragraph"/>
      </w:pPr>
      <w:r w:rsidRPr="00D525A4">
        <w:tab/>
        <w:t>(e)</w:t>
      </w:r>
      <w:r w:rsidRPr="00D525A4">
        <w:tab/>
        <w:t>the full name of each signatory to the account;</w:t>
      </w:r>
    </w:p>
    <w:p w14:paraId="672114AF" w14:textId="77777777" w:rsidR="00CA5539" w:rsidRPr="00D525A4" w:rsidRDefault="00CA5539" w:rsidP="00CA5539">
      <w:pPr>
        <w:pStyle w:val="paragraph"/>
      </w:pPr>
      <w:r w:rsidRPr="00D525A4">
        <w:tab/>
        <w:t>(f)</w:t>
      </w:r>
      <w:r w:rsidRPr="00D525A4">
        <w:tab/>
        <w:t>the date the account was opened.</w:t>
      </w:r>
    </w:p>
    <w:p w14:paraId="220A1AFF" w14:textId="77777777" w:rsidR="00CA5539" w:rsidRPr="00D525A4" w:rsidRDefault="00CA5539" w:rsidP="00CA5539">
      <w:pPr>
        <w:pStyle w:val="SubsectionHead"/>
      </w:pPr>
      <w:r w:rsidRPr="00D525A4">
        <w:t>Information about products or instruments</w:t>
      </w:r>
    </w:p>
    <w:p w14:paraId="78BA68D9" w14:textId="77777777" w:rsidR="00CA5539" w:rsidRPr="00D525A4" w:rsidRDefault="00CA5539" w:rsidP="00CA5539">
      <w:pPr>
        <w:pStyle w:val="subsection"/>
      </w:pPr>
      <w:r w:rsidRPr="00D525A4">
        <w:tab/>
        <w:t>(3)</w:t>
      </w:r>
      <w:r w:rsidRPr="00D525A4">
        <w:tab/>
        <w:t>If the threshold transaction involves products or instruments, the report must contain a description of the products or instruments and their value (in Australian dollars or a foreign currency as appropriate).</w:t>
      </w:r>
    </w:p>
    <w:p w14:paraId="22554039" w14:textId="77777777" w:rsidR="00CA5539" w:rsidRPr="00D525A4" w:rsidRDefault="00CA5539" w:rsidP="00CA5539">
      <w:pPr>
        <w:pStyle w:val="notetext"/>
      </w:pPr>
      <w:r w:rsidRPr="00D525A4">
        <w:t>Note:</w:t>
      </w:r>
      <w:r w:rsidRPr="00D525A4">
        <w:tab/>
        <w:t>Examples of products and instruments include the following:</w:t>
      </w:r>
    </w:p>
    <w:p w14:paraId="3B8D9A0F" w14:textId="77777777" w:rsidR="00CA5539" w:rsidRPr="00D525A4" w:rsidRDefault="00CA5539" w:rsidP="00CA5539">
      <w:pPr>
        <w:pStyle w:val="notepara"/>
      </w:pPr>
      <w:r w:rsidRPr="00D525A4">
        <w:t>(a)</w:t>
      </w:r>
      <w:r w:rsidRPr="00D525A4">
        <w:tab/>
        <w:t>a cheque or travellers cheque;</w:t>
      </w:r>
    </w:p>
    <w:p w14:paraId="425BF2A3" w14:textId="77777777" w:rsidR="00CA5539" w:rsidRPr="00D525A4" w:rsidRDefault="00CA5539" w:rsidP="00CA5539">
      <w:pPr>
        <w:pStyle w:val="notepara"/>
      </w:pPr>
      <w:r w:rsidRPr="00D525A4">
        <w:t>(b)</w:t>
      </w:r>
      <w:r w:rsidRPr="00D525A4">
        <w:tab/>
        <w:t>a stored value card;</w:t>
      </w:r>
    </w:p>
    <w:p w14:paraId="5C78321A" w14:textId="77777777" w:rsidR="00CA5539" w:rsidRPr="00D525A4" w:rsidRDefault="00CA5539" w:rsidP="00CA5539">
      <w:pPr>
        <w:pStyle w:val="notepara"/>
      </w:pPr>
      <w:r w:rsidRPr="00D525A4">
        <w:t>(c)</w:t>
      </w:r>
      <w:r w:rsidRPr="00D525A4">
        <w:tab/>
        <w:t>a precious metal;</w:t>
      </w:r>
    </w:p>
    <w:p w14:paraId="13B63157" w14:textId="5497B6C6" w:rsidR="00CA5539" w:rsidRPr="00D525A4" w:rsidRDefault="00CA5539" w:rsidP="00CA5539">
      <w:pPr>
        <w:pStyle w:val="notepara"/>
      </w:pPr>
      <w:r w:rsidRPr="00D525A4">
        <w:t>(d)</w:t>
      </w:r>
      <w:r w:rsidRPr="00D525A4">
        <w:tab/>
        <w:t>a gaming chip or token.</w:t>
      </w:r>
    </w:p>
    <w:p w14:paraId="4F8F83B6" w14:textId="77777777" w:rsidR="00CA5539" w:rsidRPr="00D525A4" w:rsidRDefault="00CA5539" w:rsidP="00CA5539">
      <w:pPr>
        <w:pStyle w:val="SubsectionHead"/>
      </w:pPr>
      <w:r w:rsidRPr="00D525A4">
        <w:t>Information about transfers of property</w:t>
      </w:r>
    </w:p>
    <w:p w14:paraId="4FBCC44B" w14:textId="77777777" w:rsidR="00CA5539" w:rsidRPr="00D525A4" w:rsidRDefault="00CA5539" w:rsidP="00CA5539">
      <w:pPr>
        <w:pStyle w:val="subsection"/>
      </w:pPr>
      <w:r w:rsidRPr="00D525A4">
        <w:tab/>
        <w:t>(4)</w:t>
      </w:r>
      <w:r w:rsidRPr="00D525A4">
        <w:tab/>
        <w:t>If the threshold transaction relates to a transfer of property, the report must contain the following information about the transfer (as applicable and to the extent that the information is known):</w:t>
      </w:r>
    </w:p>
    <w:p w14:paraId="17C34FA9" w14:textId="77777777" w:rsidR="00CA5539" w:rsidRPr="00D525A4" w:rsidRDefault="00CA5539" w:rsidP="00CA5539">
      <w:pPr>
        <w:pStyle w:val="paragraph"/>
      </w:pPr>
      <w:r w:rsidRPr="00D525A4">
        <w:tab/>
        <w:t>(a)</w:t>
      </w:r>
      <w:r w:rsidRPr="00D525A4">
        <w:tab/>
        <w:t>any unique reference number applicable to the transfer provided by the reporting entity or another person;</w:t>
      </w:r>
    </w:p>
    <w:p w14:paraId="3AD3B4C7" w14:textId="77777777" w:rsidR="00CA5539" w:rsidRPr="00D525A4" w:rsidRDefault="00CA5539" w:rsidP="00CA5539">
      <w:pPr>
        <w:pStyle w:val="paragraph"/>
      </w:pPr>
      <w:r w:rsidRPr="00D525A4">
        <w:tab/>
        <w:t>(b)</w:t>
      </w:r>
      <w:r w:rsidRPr="00D525A4">
        <w:tab/>
        <w:t>the value of the property (in Australian dollars or a foreign currency as appropriate);</w:t>
      </w:r>
    </w:p>
    <w:p w14:paraId="66CAFA7A" w14:textId="77777777" w:rsidR="00CA5539" w:rsidRPr="00D525A4" w:rsidRDefault="00CA5539" w:rsidP="00CA5539">
      <w:pPr>
        <w:pStyle w:val="paragraph"/>
      </w:pPr>
      <w:r w:rsidRPr="00D525A4">
        <w:tab/>
        <w:t>(c)</w:t>
      </w:r>
      <w:r w:rsidRPr="00D525A4">
        <w:tab/>
        <w:t>details of the property, including any unique identification details for the property.</w:t>
      </w:r>
    </w:p>
    <w:p w14:paraId="13F7FF67" w14:textId="77777777" w:rsidR="00CA5539" w:rsidRPr="00D525A4" w:rsidRDefault="00CA5539" w:rsidP="00CA5539">
      <w:pPr>
        <w:pStyle w:val="notetext"/>
      </w:pPr>
      <w:r w:rsidRPr="00D525A4">
        <w:t>Note:</w:t>
      </w:r>
      <w:r w:rsidRPr="00D525A4">
        <w:tab/>
        <w:t>Examples of unique identification details include:</w:t>
      </w:r>
    </w:p>
    <w:p w14:paraId="2C0DC72B" w14:textId="77777777" w:rsidR="00CA5539" w:rsidRPr="00D525A4" w:rsidRDefault="00CA5539" w:rsidP="00CA5539">
      <w:pPr>
        <w:pStyle w:val="notepara"/>
      </w:pPr>
      <w:r w:rsidRPr="00D525A4">
        <w:t>(a)</w:t>
      </w:r>
      <w:r w:rsidRPr="00D525A4">
        <w:tab/>
        <w:t>for real estate—the plan and lot numbers for the real estate; and</w:t>
      </w:r>
    </w:p>
    <w:p w14:paraId="279E91AB" w14:textId="77777777" w:rsidR="00CA5539" w:rsidRPr="00D525A4" w:rsidRDefault="00CA5539" w:rsidP="00CA5539">
      <w:pPr>
        <w:pStyle w:val="notepara"/>
      </w:pPr>
      <w:r w:rsidRPr="00D525A4">
        <w:t>(b)</w:t>
      </w:r>
      <w:r w:rsidRPr="00D525A4">
        <w:tab/>
        <w:t>for bullion—the serial number on the bullion.</w:t>
      </w:r>
    </w:p>
    <w:p w14:paraId="094706D2" w14:textId="77777777" w:rsidR="00CA5539" w:rsidRPr="00D525A4" w:rsidRDefault="00CA5539" w:rsidP="00CA5539">
      <w:pPr>
        <w:pStyle w:val="SubsectionHead"/>
      </w:pPr>
      <w:r w:rsidRPr="00D525A4">
        <w:t>Information about virtual assets</w:t>
      </w:r>
    </w:p>
    <w:p w14:paraId="04DD5486" w14:textId="77777777" w:rsidR="00CA5539" w:rsidRPr="00D525A4" w:rsidRDefault="00CA5539" w:rsidP="00CA5539">
      <w:pPr>
        <w:pStyle w:val="subsection"/>
      </w:pPr>
      <w:r w:rsidRPr="00D525A4">
        <w:tab/>
        <w:t>(5)</w:t>
      </w:r>
      <w:r w:rsidRPr="00D525A4">
        <w:tab/>
        <w:t>If the threshold transaction relates to virtual assets, the report must contain the following information about the virtual assets (as applicable and to the extent that the information is known):</w:t>
      </w:r>
    </w:p>
    <w:p w14:paraId="3A004EEE" w14:textId="37FE0912" w:rsidR="00CA5539" w:rsidRPr="00D525A4" w:rsidRDefault="00CA5539" w:rsidP="00CA5539">
      <w:pPr>
        <w:pStyle w:val="paragraph"/>
      </w:pPr>
      <w:r w:rsidRPr="00D525A4">
        <w:tab/>
        <w:t>(a)</w:t>
      </w:r>
      <w:r w:rsidRPr="00D525A4">
        <w:tab/>
        <w:t xml:space="preserve">information on the </w:t>
      </w:r>
      <w:r w:rsidR="00E74174" w:rsidRPr="00D525A4">
        <w:t>kind</w:t>
      </w:r>
      <w:r w:rsidRPr="00D525A4">
        <w:t xml:space="preserve"> of virtual assets, including details of the backing asset (if any);</w:t>
      </w:r>
    </w:p>
    <w:p w14:paraId="38E0C76B" w14:textId="3C050561" w:rsidR="00CA5539" w:rsidRPr="00D525A4" w:rsidRDefault="00CA5539" w:rsidP="00CA5539">
      <w:pPr>
        <w:pStyle w:val="paragraph"/>
      </w:pPr>
      <w:r w:rsidRPr="00D525A4">
        <w:tab/>
        <w:t>(b)</w:t>
      </w:r>
      <w:r w:rsidRPr="00D525A4">
        <w:tab/>
        <w:t>the number of virtual asset units;</w:t>
      </w:r>
    </w:p>
    <w:p w14:paraId="224F2E3D" w14:textId="77777777" w:rsidR="00CA5539" w:rsidRPr="00D525A4" w:rsidRDefault="00CA5539" w:rsidP="00CA5539">
      <w:pPr>
        <w:pStyle w:val="paragraph"/>
      </w:pPr>
      <w:r w:rsidRPr="00D525A4">
        <w:tab/>
        <w:t>(c)</w:t>
      </w:r>
      <w:r w:rsidRPr="00D525A4">
        <w:tab/>
        <w:t>the value of the virtual assets in Australian dollars;</w:t>
      </w:r>
    </w:p>
    <w:p w14:paraId="52AD8FE2" w14:textId="77777777" w:rsidR="00CA5539" w:rsidRPr="00D525A4" w:rsidRDefault="00CA5539" w:rsidP="00CA5539">
      <w:pPr>
        <w:pStyle w:val="paragraph"/>
      </w:pPr>
      <w:r w:rsidRPr="00D525A4">
        <w:lastRenderedPageBreak/>
        <w:tab/>
        <w:t>(d)</w:t>
      </w:r>
      <w:r w:rsidRPr="00D525A4">
        <w:tab/>
        <w:t>the exchange rate used in determining the value;</w:t>
      </w:r>
    </w:p>
    <w:p w14:paraId="6775B401" w14:textId="4BB4CE12" w:rsidR="00CA5539" w:rsidRPr="00D525A4" w:rsidRDefault="00CA5539" w:rsidP="00CA5539">
      <w:pPr>
        <w:pStyle w:val="paragraph"/>
      </w:pPr>
      <w:r w:rsidRPr="00D525A4">
        <w:tab/>
        <w:t>(e)</w:t>
      </w:r>
      <w:r w:rsidRPr="00D525A4">
        <w:tab/>
      </w:r>
      <w:r w:rsidR="008E7D0B" w:rsidRPr="00D525A4">
        <w:t xml:space="preserve">the </w:t>
      </w:r>
      <w:r w:rsidRPr="00D525A4">
        <w:t>unique transaction reference number, including a transaction hash;</w:t>
      </w:r>
    </w:p>
    <w:p w14:paraId="29878193" w14:textId="77777777" w:rsidR="00CA5539" w:rsidRPr="00D525A4" w:rsidRDefault="00CA5539" w:rsidP="00CA5539">
      <w:pPr>
        <w:pStyle w:val="paragraph"/>
      </w:pPr>
      <w:r w:rsidRPr="00D525A4">
        <w:tab/>
        <w:t>(f)</w:t>
      </w:r>
      <w:r w:rsidRPr="00D525A4">
        <w:tab/>
        <w:t>the virtual asset wallet address, including destination tag or memo details.</w:t>
      </w:r>
    </w:p>
    <w:p w14:paraId="4E82BDDE" w14:textId="77777777" w:rsidR="00CA5539" w:rsidRPr="00D525A4" w:rsidRDefault="00CA5539" w:rsidP="00CA5539">
      <w:pPr>
        <w:pStyle w:val="SubsectionHead"/>
      </w:pPr>
      <w:r w:rsidRPr="00D525A4">
        <w:t>Information about another person providing a designated service</w:t>
      </w:r>
    </w:p>
    <w:p w14:paraId="08BAC2D8" w14:textId="77777777" w:rsidR="00CA5539" w:rsidRPr="00D525A4" w:rsidRDefault="00CA5539" w:rsidP="00CA5539">
      <w:pPr>
        <w:pStyle w:val="subsection"/>
      </w:pPr>
      <w:r w:rsidRPr="00D525A4">
        <w:tab/>
        <w:t>(6)</w:t>
      </w:r>
      <w:r w:rsidRPr="00D525A4">
        <w:tab/>
        <w:t>If the threshold transaction relates to a person other than the reporting entity providing a designated service, the report must contain the following information about the person:</w:t>
      </w:r>
    </w:p>
    <w:p w14:paraId="7FD1A019" w14:textId="77777777" w:rsidR="00CA5539" w:rsidRPr="00D525A4" w:rsidRDefault="00CA5539" w:rsidP="00CA5539">
      <w:pPr>
        <w:pStyle w:val="paragraph"/>
      </w:pPr>
      <w:r w:rsidRPr="00D525A4">
        <w:tab/>
        <w:t>(a)</w:t>
      </w:r>
      <w:r w:rsidRPr="00D525A4">
        <w:tab/>
        <w:t>the full name of the person;</w:t>
      </w:r>
    </w:p>
    <w:p w14:paraId="27F7D1CD" w14:textId="77777777" w:rsidR="00CA5539" w:rsidRPr="00D525A4" w:rsidRDefault="00CA5539" w:rsidP="00CA5539">
      <w:pPr>
        <w:pStyle w:val="paragraph"/>
      </w:pPr>
      <w:r w:rsidRPr="00D525A4">
        <w:tab/>
        <w:t>(b)</w:t>
      </w:r>
      <w:r w:rsidRPr="00D525A4">
        <w:tab/>
        <w:t>the address or location where the person was involved in the provision of the designated service;</w:t>
      </w:r>
    </w:p>
    <w:p w14:paraId="69385C8B" w14:textId="77777777" w:rsidR="00CA5539" w:rsidRPr="00D525A4" w:rsidRDefault="00CA5539" w:rsidP="00CA5539">
      <w:pPr>
        <w:pStyle w:val="paragraph"/>
      </w:pPr>
      <w:r w:rsidRPr="00D525A4">
        <w:tab/>
        <w:t>(c)</w:t>
      </w:r>
      <w:r w:rsidRPr="00D525A4">
        <w:tab/>
        <w:t>the kind of designated service provided by the person.</w:t>
      </w:r>
    </w:p>
    <w:p w14:paraId="32432DBE" w14:textId="77777777" w:rsidR="00CA5539" w:rsidRPr="00D525A4" w:rsidRDefault="00CA5539" w:rsidP="00CA5539">
      <w:pPr>
        <w:pStyle w:val="SubsectionHead"/>
      </w:pPr>
      <w:r w:rsidRPr="00D525A4">
        <w:t>Information about online activity</w:t>
      </w:r>
    </w:p>
    <w:p w14:paraId="563EA56B" w14:textId="77777777" w:rsidR="00CA5539" w:rsidRPr="00D525A4" w:rsidRDefault="00CA5539" w:rsidP="00CA5539">
      <w:pPr>
        <w:pStyle w:val="subsection"/>
      </w:pPr>
      <w:r w:rsidRPr="00D525A4">
        <w:tab/>
        <w:t>(7)</w:t>
      </w:r>
      <w:r w:rsidRPr="00D525A4">
        <w:tab/>
        <w:t>If the threshold transaction relates to the provision of a designated service online, the report must contain the following information about the online activity (as applicable and to the extent that the information is known):</w:t>
      </w:r>
    </w:p>
    <w:p w14:paraId="3C5CDA14" w14:textId="4703F069" w:rsidR="00CA5539" w:rsidRPr="00D525A4" w:rsidRDefault="00CA5539" w:rsidP="00CA5539">
      <w:pPr>
        <w:pStyle w:val="paragraph"/>
      </w:pPr>
      <w:r w:rsidRPr="00D525A4">
        <w:tab/>
        <w:t>(a)</w:t>
      </w:r>
      <w:r w:rsidRPr="00D525A4">
        <w:tab/>
        <w:t xml:space="preserve">unique network identification numbers for the networks used by the customer, such </w:t>
      </w:r>
      <w:r w:rsidR="00C055F0" w:rsidRPr="00D525A4">
        <w:t xml:space="preserve">as </w:t>
      </w:r>
      <w:r w:rsidRPr="00D525A4">
        <w:t>an Internet Protocol (IP) address;</w:t>
      </w:r>
    </w:p>
    <w:p w14:paraId="512713CC" w14:textId="55D50E66" w:rsidR="00CA5539" w:rsidRPr="00D525A4" w:rsidRDefault="00CA5539" w:rsidP="00CA5539">
      <w:pPr>
        <w:pStyle w:val="paragraph"/>
      </w:pPr>
      <w:r w:rsidRPr="00D525A4">
        <w:tab/>
        <w:t>(b)</w:t>
      </w:r>
      <w:r w:rsidRPr="00D525A4">
        <w:tab/>
        <w:t xml:space="preserve">the date and time (including time zone) that online activity was recorded occurring, if different from the date and time when the transaction took place as reported under </w:t>
      </w:r>
      <w:r w:rsidR="009F59ED" w:rsidRPr="00D525A4">
        <w:t>subsection (</w:t>
      </w:r>
      <w:r w:rsidRPr="00D525A4">
        <w:t>1);</w:t>
      </w:r>
    </w:p>
    <w:p w14:paraId="632F4D7A" w14:textId="77777777" w:rsidR="00CA5539" w:rsidRPr="00D525A4" w:rsidRDefault="00CA5539" w:rsidP="00CA5539">
      <w:pPr>
        <w:pStyle w:val="paragraph"/>
      </w:pPr>
      <w:r w:rsidRPr="00D525A4">
        <w:tab/>
        <w:t>(c)</w:t>
      </w:r>
      <w:r w:rsidRPr="00D525A4">
        <w:tab/>
        <w:t>unique identification numbers for the relevant devices involved, such as an International Mobile Equipment Identity (IMEI);</w:t>
      </w:r>
    </w:p>
    <w:p w14:paraId="28BC2F64" w14:textId="77777777" w:rsidR="00CA5539" w:rsidRPr="00D525A4" w:rsidRDefault="00CA5539" w:rsidP="00CA5539">
      <w:pPr>
        <w:pStyle w:val="paragraph"/>
      </w:pPr>
      <w:r w:rsidRPr="00D525A4">
        <w:tab/>
        <w:t>(d)</w:t>
      </w:r>
      <w:r w:rsidRPr="00D525A4">
        <w:tab/>
        <w:t>a description of the software or application being used by the customer;</w:t>
      </w:r>
    </w:p>
    <w:p w14:paraId="5672E2A6" w14:textId="77777777" w:rsidR="00CA5539" w:rsidRPr="00D525A4" w:rsidRDefault="00CA5539" w:rsidP="00CA5539">
      <w:pPr>
        <w:pStyle w:val="paragraph"/>
      </w:pPr>
      <w:r w:rsidRPr="00D525A4">
        <w:tab/>
        <w:t>(e)</w:t>
      </w:r>
      <w:r w:rsidRPr="00D525A4">
        <w:tab/>
        <w:t>the full name used by the customer for the purposes of the software or application.</w:t>
      </w:r>
    </w:p>
    <w:p w14:paraId="5D65C837" w14:textId="5435FB79" w:rsidR="00270E8B" w:rsidRPr="00D525A4" w:rsidRDefault="0013261E" w:rsidP="00270E8B">
      <w:pPr>
        <w:pStyle w:val="ActHead3"/>
        <w:pageBreakBefore/>
      </w:pPr>
      <w:bookmarkStart w:id="173" w:name="_Toc198225056"/>
      <w:r w:rsidRPr="00D525A4">
        <w:rPr>
          <w:rStyle w:val="CharDivNo"/>
        </w:rPr>
        <w:lastRenderedPageBreak/>
        <w:t>Division 3</w:t>
      </w:r>
      <w:r w:rsidR="00270E8B" w:rsidRPr="00D525A4">
        <w:t>—</w:t>
      </w:r>
      <w:r w:rsidR="00270E8B" w:rsidRPr="00D525A4">
        <w:rPr>
          <w:rStyle w:val="CharDivText"/>
        </w:rPr>
        <w:t>International value transfer reports [to be drafted]</w:t>
      </w:r>
      <w:bookmarkEnd w:id="173"/>
    </w:p>
    <w:p w14:paraId="6CF4C8AF" w14:textId="1491A175" w:rsidR="00D07296" w:rsidRPr="00D525A4" w:rsidRDefault="0013261E" w:rsidP="009B152C">
      <w:pPr>
        <w:pStyle w:val="ActHead3"/>
        <w:pageBreakBefore/>
      </w:pPr>
      <w:bookmarkStart w:id="174" w:name="_Toc198225057"/>
      <w:r w:rsidRPr="00D525A4">
        <w:rPr>
          <w:rStyle w:val="CharDivNo"/>
        </w:rPr>
        <w:lastRenderedPageBreak/>
        <w:t>Division 4</w:t>
      </w:r>
      <w:r w:rsidR="00D07296" w:rsidRPr="00D525A4">
        <w:t>—</w:t>
      </w:r>
      <w:r w:rsidR="00D07296" w:rsidRPr="00D525A4">
        <w:rPr>
          <w:rStyle w:val="CharDivText"/>
        </w:rPr>
        <w:t>AML/CTF compliance reports</w:t>
      </w:r>
      <w:bookmarkEnd w:id="174"/>
    </w:p>
    <w:p w14:paraId="05C3DEEF" w14:textId="74545F8F" w:rsidR="00D07296" w:rsidRPr="00D525A4" w:rsidRDefault="00EC097E" w:rsidP="00D07296">
      <w:pPr>
        <w:pStyle w:val="ActHead5"/>
      </w:pPr>
      <w:bookmarkStart w:id="175" w:name="_Toc198225058"/>
      <w:r w:rsidRPr="00D525A4">
        <w:rPr>
          <w:rStyle w:val="CharSectno"/>
        </w:rPr>
        <w:t>8</w:t>
      </w:r>
      <w:r w:rsidR="00D525A4">
        <w:rPr>
          <w:rStyle w:val="CharSectno"/>
        </w:rPr>
        <w:noBreakHyphen/>
      </w:r>
      <w:r w:rsidRPr="00D525A4">
        <w:rPr>
          <w:rStyle w:val="CharSectno"/>
        </w:rPr>
        <w:t>9</w:t>
      </w:r>
      <w:r w:rsidR="00D07296" w:rsidRPr="00D525A4">
        <w:t xml:space="preserve">  Reporting and lodgement periods for AML/CTF compliance reports</w:t>
      </w:r>
      <w:bookmarkEnd w:id="175"/>
    </w:p>
    <w:p w14:paraId="464C25F4" w14:textId="6DD8E2D5" w:rsidR="00D07296" w:rsidRPr="00D525A4" w:rsidRDefault="00D07296" w:rsidP="00D07296">
      <w:pPr>
        <w:pStyle w:val="subsection"/>
      </w:pPr>
      <w:r w:rsidRPr="00D525A4">
        <w:tab/>
      </w:r>
      <w:r w:rsidRPr="00D525A4">
        <w:tab/>
        <w:t xml:space="preserve">For the purposes of </w:t>
      </w:r>
      <w:r w:rsidR="005C5E95" w:rsidRPr="00D525A4">
        <w:t>section 4</w:t>
      </w:r>
      <w:r w:rsidRPr="00D525A4">
        <w:t>7 of the Act:</w:t>
      </w:r>
    </w:p>
    <w:p w14:paraId="7258E525" w14:textId="77777777" w:rsidR="00D07296" w:rsidRPr="00D525A4" w:rsidRDefault="00D07296" w:rsidP="00D07296">
      <w:pPr>
        <w:pStyle w:val="paragraph"/>
      </w:pPr>
      <w:r w:rsidRPr="00D525A4">
        <w:tab/>
        <w:t>(a)</w:t>
      </w:r>
      <w:r w:rsidRPr="00D525A4">
        <w:tab/>
        <w:t>each calendar year is a reporting period; and</w:t>
      </w:r>
    </w:p>
    <w:p w14:paraId="575B9EAC" w14:textId="77777777" w:rsidR="00D07296" w:rsidRPr="00D525A4" w:rsidRDefault="00D07296" w:rsidP="00D07296">
      <w:pPr>
        <w:pStyle w:val="paragraph"/>
      </w:pPr>
      <w:r w:rsidRPr="00D525A4">
        <w:tab/>
        <w:t>(b)</w:t>
      </w:r>
      <w:r w:rsidRPr="00D525A4">
        <w:tab/>
        <w:t>the period of 3 months beginning at the end of each reporting period is the lodgement period for that reporting period.</w:t>
      </w:r>
    </w:p>
    <w:p w14:paraId="70E30B6A" w14:textId="29379B15" w:rsidR="00777497" w:rsidRPr="00D525A4" w:rsidRDefault="00A25E52" w:rsidP="00D07296">
      <w:pPr>
        <w:pStyle w:val="ActHead3"/>
        <w:pageBreakBefore/>
      </w:pPr>
      <w:bookmarkStart w:id="176" w:name="_Toc198225059"/>
      <w:r w:rsidRPr="00D525A4">
        <w:rPr>
          <w:rStyle w:val="CharDivNo"/>
        </w:rPr>
        <w:lastRenderedPageBreak/>
        <w:t>Division </w:t>
      </w:r>
      <w:r w:rsidR="009B152C" w:rsidRPr="00D525A4">
        <w:rPr>
          <w:rStyle w:val="CharDivNo"/>
        </w:rPr>
        <w:t>5</w:t>
      </w:r>
      <w:r w:rsidR="00B42B42" w:rsidRPr="00D525A4">
        <w:t>—</w:t>
      </w:r>
      <w:r w:rsidR="00777497" w:rsidRPr="00D525A4">
        <w:rPr>
          <w:rStyle w:val="CharDivText"/>
        </w:rPr>
        <w:t>Registered remittance affiliates</w:t>
      </w:r>
      <w:bookmarkEnd w:id="176"/>
    </w:p>
    <w:p w14:paraId="5139E708" w14:textId="55FBD2F8" w:rsidR="00777497" w:rsidRPr="00D525A4" w:rsidRDefault="00EC097E" w:rsidP="00777497">
      <w:pPr>
        <w:pStyle w:val="ActHead5"/>
      </w:pPr>
      <w:bookmarkStart w:id="177" w:name="_Toc198225060"/>
      <w:r w:rsidRPr="00D525A4">
        <w:rPr>
          <w:rStyle w:val="CharSectno"/>
        </w:rPr>
        <w:t>8</w:t>
      </w:r>
      <w:r w:rsidR="00D525A4">
        <w:rPr>
          <w:rStyle w:val="CharSectno"/>
        </w:rPr>
        <w:noBreakHyphen/>
      </w:r>
      <w:r w:rsidRPr="00D525A4">
        <w:rPr>
          <w:rStyle w:val="CharSectno"/>
        </w:rPr>
        <w:t>10</w:t>
      </w:r>
      <w:r w:rsidR="00777497" w:rsidRPr="00D525A4">
        <w:t xml:space="preserve">  Reporting obligations of registered remittance affiliates</w:t>
      </w:r>
      <w:bookmarkEnd w:id="177"/>
    </w:p>
    <w:p w14:paraId="3560EBC2" w14:textId="1F800DA4" w:rsidR="00777497" w:rsidRPr="00D525A4" w:rsidRDefault="00777497" w:rsidP="00777497">
      <w:pPr>
        <w:pStyle w:val="subsection"/>
      </w:pPr>
      <w:r w:rsidRPr="00D525A4">
        <w:tab/>
        <w:t>(1)</w:t>
      </w:r>
      <w:r w:rsidRPr="00D525A4">
        <w:tab/>
        <w:t xml:space="preserve">This section is made for the purposes of </w:t>
      </w:r>
      <w:r w:rsidR="005C5E95" w:rsidRPr="00D525A4">
        <w:t>section 4</w:t>
      </w:r>
      <w:r w:rsidRPr="00D525A4">
        <w:t>9A of the Act.</w:t>
      </w:r>
    </w:p>
    <w:p w14:paraId="624140C0" w14:textId="77777777" w:rsidR="00777497" w:rsidRPr="00D525A4" w:rsidRDefault="00777497" w:rsidP="00777497">
      <w:pPr>
        <w:pStyle w:val="SubsectionHead"/>
      </w:pPr>
      <w:r w:rsidRPr="00D525A4">
        <w:t>Reports of suspicious matters</w:t>
      </w:r>
    </w:p>
    <w:p w14:paraId="7C5DE654" w14:textId="502C1075" w:rsidR="00777497" w:rsidRPr="00D525A4" w:rsidRDefault="00777497" w:rsidP="00777497">
      <w:pPr>
        <w:pStyle w:val="subsection"/>
      </w:pPr>
      <w:r w:rsidRPr="00D525A4">
        <w:tab/>
        <w:t>(2)</w:t>
      </w:r>
      <w:r w:rsidRPr="00D525A4">
        <w:tab/>
        <w:t xml:space="preserve">An obligation imposed by </w:t>
      </w:r>
      <w:r w:rsidR="005C5E95" w:rsidRPr="00D525A4">
        <w:t>subsection 4</w:t>
      </w:r>
      <w:r w:rsidRPr="00D525A4">
        <w:t>1(2) of the Act (which deals with reports of suspicious matters) upon a registered remittance affiliate of a registered remittance network provider to give a report may be discharged by the network provider if there is a written agreement between the affiliate and the network provider that provides for the network provider to do so.</w:t>
      </w:r>
    </w:p>
    <w:p w14:paraId="395A29E4" w14:textId="77777777" w:rsidR="00777497" w:rsidRPr="00D525A4" w:rsidRDefault="00777497" w:rsidP="00777497">
      <w:pPr>
        <w:pStyle w:val="SubsectionHead"/>
      </w:pPr>
      <w:r w:rsidRPr="00D525A4">
        <w:t>Reports of threshold transactions or international funds transfer instructions</w:t>
      </w:r>
    </w:p>
    <w:p w14:paraId="28D95130" w14:textId="60661F2B" w:rsidR="00777497" w:rsidRPr="00D525A4" w:rsidRDefault="00777497" w:rsidP="00AD02E3">
      <w:pPr>
        <w:pStyle w:val="subsection"/>
      </w:pPr>
      <w:r w:rsidRPr="00D525A4">
        <w:tab/>
        <w:t>(3)</w:t>
      </w:r>
      <w:r w:rsidRPr="00D525A4">
        <w:tab/>
        <w:t xml:space="preserve">An obligation imposed by </w:t>
      </w:r>
      <w:r w:rsidR="005C5E95" w:rsidRPr="00D525A4">
        <w:t>subsection 4</w:t>
      </w:r>
      <w:r w:rsidRPr="00D525A4">
        <w:t>3(2) (which deals with reports of threshold transaction) or 45(2) (which deals with reports of international funds transfer instructions) of the Act upon a registered remittance affiliate of a registered remittance network provider to give a report is taken instead to be an obligation imposed on the network provider.</w:t>
      </w:r>
    </w:p>
    <w:p w14:paraId="340C5D61" w14:textId="50D750F9" w:rsidR="00B42B42" w:rsidRPr="00D525A4" w:rsidRDefault="00A25E52" w:rsidP="00556396">
      <w:pPr>
        <w:pStyle w:val="ActHead3"/>
        <w:pageBreakBefore/>
      </w:pPr>
      <w:bookmarkStart w:id="178" w:name="_Toc198225061"/>
      <w:r w:rsidRPr="00D525A4">
        <w:rPr>
          <w:rStyle w:val="CharDivNo"/>
        </w:rPr>
        <w:lastRenderedPageBreak/>
        <w:t>Division </w:t>
      </w:r>
      <w:r w:rsidR="009B152C" w:rsidRPr="00D525A4">
        <w:rPr>
          <w:rStyle w:val="CharDivNo"/>
        </w:rPr>
        <w:t>6</w:t>
      </w:r>
      <w:r w:rsidR="00556396" w:rsidRPr="00D525A4">
        <w:t>—</w:t>
      </w:r>
      <w:r w:rsidR="00556396" w:rsidRPr="00D525A4">
        <w:rPr>
          <w:rStyle w:val="CharDivText"/>
        </w:rPr>
        <w:t>Cross</w:t>
      </w:r>
      <w:r w:rsidR="00D525A4">
        <w:rPr>
          <w:rStyle w:val="CharDivText"/>
        </w:rPr>
        <w:noBreakHyphen/>
      </w:r>
      <w:r w:rsidR="00556396" w:rsidRPr="00D525A4">
        <w:rPr>
          <w:rStyle w:val="CharDivText"/>
        </w:rPr>
        <w:t>border movement reports</w:t>
      </w:r>
      <w:bookmarkEnd w:id="178"/>
    </w:p>
    <w:p w14:paraId="59671BE4" w14:textId="19800365" w:rsidR="00164EC4" w:rsidRPr="00D525A4" w:rsidRDefault="00EC097E" w:rsidP="005A1F5F">
      <w:pPr>
        <w:pStyle w:val="ActHead5"/>
      </w:pPr>
      <w:bookmarkStart w:id="179" w:name="_Toc198225062"/>
      <w:r w:rsidRPr="00D525A4">
        <w:rPr>
          <w:rStyle w:val="CharSectno"/>
        </w:rPr>
        <w:t>8</w:t>
      </w:r>
      <w:r w:rsidR="00D525A4">
        <w:rPr>
          <w:rStyle w:val="CharSectno"/>
        </w:rPr>
        <w:noBreakHyphen/>
      </w:r>
      <w:r w:rsidRPr="00D525A4">
        <w:rPr>
          <w:rStyle w:val="CharSectno"/>
        </w:rPr>
        <w:t>11</w:t>
      </w:r>
      <w:r w:rsidR="005A1F5F" w:rsidRPr="00D525A4">
        <w:t xml:space="preserve">  </w:t>
      </w:r>
      <w:r w:rsidR="00164EC4" w:rsidRPr="00D525A4">
        <w:t>Purpose of this Division</w:t>
      </w:r>
      <w:bookmarkEnd w:id="179"/>
    </w:p>
    <w:p w14:paraId="63A5E8DF" w14:textId="77777777" w:rsidR="00164EC4" w:rsidRPr="00D525A4" w:rsidRDefault="00164EC4" w:rsidP="00164EC4">
      <w:pPr>
        <w:pStyle w:val="subsection"/>
      </w:pPr>
      <w:r w:rsidRPr="00D525A4">
        <w:tab/>
      </w:r>
      <w:r w:rsidRPr="00D525A4">
        <w:tab/>
        <w:t>This Division is made for the purposes of the following provisions of the Act:</w:t>
      </w:r>
    </w:p>
    <w:p w14:paraId="6EE39431" w14:textId="03849CFD" w:rsidR="00556396" w:rsidRPr="00D525A4" w:rsidRDefault="00556396" w:rsidP="00556396">
      <w:pPr>
        <w:pStyle w:val="paragraph"/>
      </w:pPr>
      <w:r w:rsidRPr="00D525A4">
        <w:tab/>
        <w:t>(a)</w:t>
      </w:r>
      <w:r w:rsidRPr="00D525A4">
        <w:tab/>
      </w:r>
      <w:r w:rsidR="0056097B" w:rsidRPr="00D525A4">
        <w:t>paragraph 5</w:t>
      </w:r>
      <w:r w:rsidRPr="00D525A4">
        <w:t>3(7)(b)</w:t>
      </w:r>
      <w:r w:rsidR="009B5733" w:rsidRPr="00D525A4">
        <w:t>;</w:t>
      </w:r>
    </w:p>
    <w:p w14:paraId="2BB90C32" w14:textId="0D7913C1" w:rsidR="00556396" w:rsidRPr="00D525A4" w:rsidRDefault="00556396" w:rsidP="00556396">
      <w:pPr>
        <w:pStyle w:val="paragraph"/>
      </w:pPr>
      <w:r w:rsidRPr="00D525A4">
        <w:tab/>
        <w:t>(b)</w:t>
      </w:r>
      <w:r w:rsidRPr="00D525A4">
        <w:tab/>
      </w:r>
      <w:r w:rsidR="0056097B" w:rsidRPr="00D525A4">
        <w:t>paragraph 5</w:t>
      </w:r>
      <w:r w:rsidRPr="00D525A4">
        <w:t>3(7)(d);</w:t>
      </w:r>
    </w:p>
    <w:p w14:paraId="75159F52" w14:textId="4A5AC762" w:rsidR="00556396" w:rsidRPr="00D525A4" w:rsidRDefault="00556396" w:rsidP="00556396">
      <w:pPr>
        <w:pStyle w:val="paragraph"/>
      </w:pPr>
      <w:r w:rsidRPr="00D525A4">
        <w:tab/>
        <w:t>(c)</w:t>
      </w:r>
      <w:r w:rsidRPr="00D525A4">
        <w:tab/>
      </w:r>
      <w:r w:rsidR="0056097B" w:rsidRPr="00D525A4">
        <w:t>paragraph 5</w:t>
      </w:r>
      <w:r w:rsidRPr="00D525A4">
        <w:t>4(4)(b)</w:t>
      </w:r>
      <w:r w:rsidR="005577B2" w:rsidRPr="00D525A4">
        <w:t>;</w:t>
      </w:r>
    </w:p>
    <w:p w14:paraId="598DFFBA" w14:textId="62743340" w:rsidR="000A5BA7" w:rsidRPr="00D525A4" w:rsidRDefault="000A5BA7" w:rsidP="00556396">
      <w:pPr>
        <w:pStyle w:val="paragraph"/>
      </w:pPr>
      <w:r w:rsidRPr="00D525A4">
        <w:tab/>
        <w:t>(d)</w:t>
      </w:r>
      <w:r w:rsidRPr="00D525A4">
        <w:tab/>
      </w:r>
      <w:r w:rsidR="00FE1FDA" w:rsidRPr="00D525A4">
        <w:t>paragraph 6</w:t>
      </w:r>
      <w:r w:rsidRPr="00D525A4">
        <w:t>1(1)(b)</w:t>
      </w:r>
      <w:r w:rsidR="009B5733" w:rsidRPr="00D525A4">
        <w:t>;</w:t>
      </w:r>
    </w:p>
    <w:p w14:paraId="379874FD" w14:textId="6EF98CD2" w:rsidR="00334A29" w:rsidRPr="00D525A4" w:rsidRDefault="005577B2" w:rsidP="00556396">
      <w:pPr>
        <w:pStyle w:val="paragraph"/>
      </w:pPr>
      <w:r w:rsidRPr="00D525A4">
        <w:tab/>
      </w:r>
      <w:r w:rsidR="00334A29" w:rsidRPr="00D525A4">
        <w:t>(</w:t>
      </w:r>
      <w:r w:rsidR="0020657D" w:rsidRPr="00D525A4">
        <w:t>e</w:t>
      </w:r>
      <w:r w:rsidR="00334A29" w:rsidRPr="00D525A4">
        <w:t>)</w:t>
      </w:r>
      <w:r w:rsidR="00334A29" w:rsidRPr="00D525A4">
        <w:tab/>
      </w:r>
      <w:r w:rsidR="00FE1FDA" w:rsidRPr="00D525A4">
        <w:t>paragraph 6</w:t>
      </w:r>
      <w:r w:rsidR="00334A29" w:rsidRPr="00D525A4">
        <w:t>1(2)(b).</w:t>
      </w:r>
    </w:p>
    <w:p w14:paraId="6ECCCF65" w14:textId="3598D320" w:rsidR="00164EC4" w:rsidRPr="00D525A4" w:rsidRDefault="00EC097E" w:rsidP="00D06C2E">
      <w:pPr>
        <w:pStyle w:val="ActHead5"/>
      </w:pPr>
      <w:bookmarkStart w:id="180" w:name="_Toc198225063"/>
      <w:r w:rsidRPr="00D525A4">
        <w:rPr>
          <w:rStyle w:val="CharSectno"/>
        </w:rPr>
        <w:t>8</w:t>
      </w:r>
      <w:r w:rsidR="00D525A4">
        <w:rPr>
          <w:rStyle w:val="CharSectno"/>
        </w:rPr>
        <w:noBreakHyphen/>
      </w:r>
      <w:r w:rsidRPr="00D525A4">
        <w:rPr>
          <w:rStyle w:val="CharSectno"/>
        </w:rPr>
        <w:t>12</w:t>
      </w:r>
      <w:r w:rsidR="00D06C2E" w:rsidRPr="00D525A4">
        <w:t xml:space="preserve">  </w:t>
      </w:r>
      <w:r w:rsidR="00164EC4" w:rsidRPr="00D525A4">
        <w:t>Reports about mov</w:t>
      </w:r>
      <w:r w:rsidR="00D06C2E" w:rsidRPr="00D525A4">
        <w:t xml:space="preserve">ing </w:t>
      </w:r>
      <w:r w:rsidR="00164EC4" w:rsidRPr="00D525A4">
        <w:t>monetary instruments into or out of Australia</w:t>
      </w:r>
      <w:bookmarkEnd w:id="180"/>
    </w:p>
    <w:p w14:paraId="423D4C74" w14:textId="32F159C6" w:rsidR="00556396" w:rsidRPr="00D525A4" w:rsidRDefault="00556396" w:rsidP="00D06C2E">
      <w:pPr>
        <w:pStyle w:val="subsection"/>
      </w:pPr>
      <w:r w:rsidRPr="00D525A4">
        <w:tab/>
        <w:t>(1)</w:t>
      </w:r>
      <w:r w:rsidRPr="00D525A4">
        <w:tab/>
        <w:t xml:space="preserve">If a person moves a monetary instrument into or out of Australia, a report under </w:t>
      </w:r>
      <w:r w:rsidR="0013261E" w:rsidRPr="00D525A4">
        <w:t>section 5</w:t>
      </w:r>
      <w:r w:rsidRPr="00D525A4">
        <w:t>3 of the Act (reports about movements of monetary instruments into or out of Australia) must:</w:t>
      </w:r>
    </w:p>
    <w:p w14:paraId="44AAD43C" w14:textId="4392D50B" w:rsidR="00556396" w:rsidRPr="00D525A4" w:rsidRDefault="00556396" w:rsidP="00556396">
      <w:pPr>
        <w:pStyle w:val="paragraph"/>
      </w:pPr>
      <w:r w:rsidRPr="00D525A4">
        <w:tab/>
        <w:t>(a)</w:t>
      </w:r>
      <w:r w:rsidRPr="00D525A4">
        <w:tab/>
        <w:t xml:space="preserve">contain the information specified in </w:t>
      </w:r>
      <w:r w:rsidR="009F59ED" w:rsidRPr="00D525A4">
        <w:t>subsection (</w:t>
      </w:r>
      <w:r w:rsidRPr="00D525A4">
        <w:t>2) (to the extent the information is known); and</w:t>
      </w:r>
    </w:p>
    <w:p w14:paraId="689CD052" w14:textId="77B85932" w:rsidR="00556396" w:rsidRPr="00D525A4" w:rsidRDefault="00556396" w:rsidP="00556396">
      <w:pPr>
        <w:pStyle w:val="paragraph"/>
      </w:pPr>
      <w:r w:rsidRPr="00D525A4">
        <w:tab/>
        <w:t>(b)</w:t>
      </w:r>
      <w:r w:rsidRPr="00D525A4">
        <w:tab/>
        <w:t xml:space="preserve">be given in accordance with the applicable timing rule specified in </w:t>
      </w:r>
      <w:r w:rsidR="009F59ED" w:rsidRPr="00D525A4">
        <w:t>subsection (</w:t>
      </w:r>
      <w:r w:rsidRPr="00D525A4">
        <w:t>3).</w:t>
      </w:r>
    </w:p>
    <w:p w14:paraId="62F0C16A" w14:textId="67D419AC" w:rsidR="0064635D" w:rsidRPr="00D525A4" w:rsidRDefault="00556396" w:rsidP="0064635D">
      <w:pPr>
        <w:pStyle w:val="notetext"/>
      </w:pPr>
      <w:r w:rsidRPr="00D525A4">
        <w:t>Note:</w:t>
      </w:r>
      <w:r w:rsidRPr="00D525A4">
        <w:tab/>
        <w:t xml:space="preserve">The report must also be given in the approved form (see </w:t>
      </w:r>
      <w:r w:rsidR="0056097B" w:rsidRPr="00D525A4">
        <w:t>paragraph 5</w:t>
      </w:r>
      <w:r w:rsidRPr="00D525A4">
        <w:t>3(7)(a) of the Act).</w:t>
      </w:r>
    </w:p>
    <w:p w14:paraId="4938E15D" w14:textId="16207F5B" w:rsidR="00556396" w:rsidRPr="00D525A4" w:rsidRDefault="00556396" w:rsidP="00556396">
      <w:pPr>
        <w:pStyle w:val="subsection"/>
      </w:pPr>
      <w:r w:rsidRPr="00D525A4">
        <w:tab/>
        <w:t>(2)</w:t>
      </w:r>
      <w:r w:rsidRPr="00D525A4">
        <w:tab/>
        <w:t xml:space="preserve">For the purposes of </w:t>
      </w:r>
      <w:r w:rsidR="009F59ED" w:rsidRPr="00D525A4">
        <w:t>paragraph (</w:t>
      </w:r>
      <w:r w:rsidRPr="00D525A4">
        <w:t>1)(a), the information is as follows:</w:t>
      </w:r>
    </w:p>
    <w:p w14:paraId="262A8F2B" w14:textId="77777777" w:rsidR="00556396" w:rsidRPr="00D525A4" w:rsidRDefault="00556396" w:rsidP="00556396">
      <w:pPr>
        <w:pStyle w:val="paragraph"/>
      </w:pPr>
      <w:r w:rsidRPr="00D525A4">
        <w:tab/>
        <w:t>(a)</w:t>
      </w:r>
      <w:r w:rsidRPr="00D525A4">
        <w:tab/>
        <w:t>if the person is an individual:</w:t>
      </w:r>
    </w:p>
    <w:p w14:paraId="49C32B0E" w14:textId="77777777" w:rsidR="00556396" w:rsidRPr="00D525A4" w:rsidRDefault="00556396" w:rsidP="00556396">
      <w:pPr>
        <w:pStyle w:val="paragraphsub"/>
      </w:pPr>
      <w:r w:rsidRPr="00D525A4">
        <w:tab/>
        <w:t>(i)</w:t>
      </w:r>
      <w:r w:rsidRPr="00D525A4">
        <w:tab/>
        <w:t>the person’s full name; and</w:t>
      </w:r>
    </w:p>
    <w:p w14:paraId="5F578808" w14:textId="77777777" w:rsidR="00556396" w:rsidRPr="00D525A4" w:rsidRDefault="00556396" w:rsidP="00556396">
      <w:pPr>
        <w:pStyle w:val="paragraphsub"/>
      </w:pPr>
      <w:r w:rsidRPr="00D525A4">
        <w:tab/>
        <w:t>(ii)</w:t>
      </w:r>
      <w:r w:rsidRPr="00D525A4">
        <w:tab/>
        <w:t>the person’s date and place of birth; and</w:t>
      </w:r>
    </w:p>
    <w:p w14:paraId="3C0A93D7" w14:textId="77777777" w:rsidR="00556396" w:rsidRPr="00D525A4" w:rsidRDefault="00556396" w:rsidP="00556396">
      <w:pPr>
        <w:pStyle w:val="paragraphsub"/>
      </w:pPr>
      <w:r w:rsidRPr="00D525A4">
        <w:tab/>
        <w:t>(iii)</w:t>
      </w:r>
      <w:r w:rsidRPr="00D525A4">
        <w:tab/>
        <w:t>the country or countries of which the person is a citizen; and</w:t>
      </w:r>
    </w:p>
    <w:p w14:paraId="7CD67F63" w14:textId="77777777" w:rsidR="00556396" w:rsidRPr="00D525A4" w:rsidRDefault="00556396" w:rsidP="00556396">
      <w:pPr>
        <w:pStyle w:val="paragraphsub"/>
      </w:pPr>
      <w:r w:rsidRPr="00D525A4">
        <w:tab/>
        <w:t>(iv)</w:t>
      </w:r>
      <w:r w:rsidRPr="00D525A4">
        <w:tab/>
        <w:t>the person’s residential address; and</w:t>
      </w:r>
    </w:p>
    <w:p w14:paraId="4BE1E277" w14:textId="77777777" w:rsidR="00556396" w:rsidRPr="00D525A4" w:rsidRDefault="00556396" w:rsidP="00556396">
      <w:pPr>
        <w:pStyle w:val="paragraphsub"/>
      </w:pPr>
      <w:r w:rsidRPr="00D525A4">
        <w:tab/>
        <w:t>(v)</w:t>
      </w:r>
      <w:r w:rsidRPr="00D525A4">
        <w:tab/>
        <w:t>the person’s telephone number; and</w:t>
      </w:r>
    </w:p>
    <w:p w14:paraId="33B9BF7B" w14:textId="77777777" w:rsidR="00556396" w:rsidRPr="00D525A4" w:rsidRDefault="00556396" w:rsidP="00556396">
      <w:pPr>
        <w:pStyle w:val="paragraphsub"/>
      </w:pPr>
      <w:r w:rsidRPr="00D525A4">
        <w:tab/>
        <w:t>(vi)</w:t>
      </w:r>
      <w:r w:rsidRPr="00D525A4">
        <w:tab/>
        <w:t>whether the person is an Australian resident; and</w:t>
      </w:r>
    </w:p>
    <w:p w14:paraId="77F399C3" w14:textId="77777777" w:rsidR="00556396" w:rsidRPr="00D525A4" w:rsidRDefault="00556396" w:rsidP="00556396">
      <w:pPr>
        <w:pStyle w:val="paragraphsub"/>
      </w:pPr>
      <w:r w:rsidRPr="00D525A4">
        <w:tab/>
        <w:t>(vii)</w:t>
      </w:r>
      <w:r w:rsidRPr="00D525A4">
        <w:tab/>
        <w:t>if the person is bringing the monetary instrument into Australia and is not an Australian resident—the person’s address and telephone number while in Australia; and</w:t>
      </w:r>
    </w:p>
    <w:p w14:paraId="575EC400" w14:textId="77777777" w:rsidR="00556396" w:rsidRPr="00D525A4" w:rsidRDefault="00556396" w:rsidP="00556396">
      <w:pPr>
        <w:pStyle w:val="paragraphsub"/>
      </w:pPr>
      <w:r w:rsidRPr="00D525A4">
        <w:tab/>
        <w:t>(viii)</w:t>
      </w:r>
      <w:r w:rsidRPr="00D525A4">
        <w:tab/>
        <w:t>the person’s occupation, business or principal activity; and</w:t>
      </w:r>
    </w:p>
    <w:p w14:paraId="69921F12" w14:textId="77777777" w:rsidR="00556396" w:rsidRPr="00D525A4" w:rsidRDefault="00556396" w:rsidP="00556396">
      <w:pPr>
        <w:pStyle w:val="paragraphsub"/>
      </w:pPr>
      <w:r w:rsidRPr="00D525A4">
        <w:tab/>
        <w:t>(ix)</w:t>
      </w:r>
      <w:r w:rsidRPr="00D525A4">
        <w:tab/>
        <w:t>the person’s ABN (if any);</w:t>
      </w:r>
    </w:p>
    <w:p w14:paraId="25BEE509" w14:textId="77777777" w:rsidR="00556396" w:rsidRPr="00D525A4" w:rsidRDefault="00556396" w:rsidP="00556396">
      <w:pPr>
        <w:pStyle w:val="paragraph"/>
      </w:pPr>
      <w:r w:rsidRPr="00D525A4">
        <w:tab/>
        <w:t>(b)</w:t>
      </w:r>
      <w:r w:rsidRPr="00D525A4">
        <w:tab/>
        <w:t>if the person is not an individual:</w:t>
      </w:r>
    </w:p>
    <w:p w14:paraId="27654889" w14:textId="77777777" w:rsidR="00556396" w:rsidRPr="00D525A4" w:rsidRDefault="00556396" w:rsidP="00556396">
      <w:pPr>
        <w:pStyle w:val="paragraphsub"/>
      </w:pPr>
      <w:r w:rsidRPr="00D525A4">
        <w:tab/>
        <w:t>(i)</w:t>
      </w:r>
      <w:r w:rsidRPr="00D525A4">
        <w:tab/>
        <w:t>the person’s full name; and</w:t>
      </w:r>
    </w:p>
    <w:p w14:paraId="739C876F" w14:textId="77777777" w:rsidR="00556396" w:rsidRPr="00D525A4" w:rsidRDefault="00556396" w:rsidP="00556396">
      <w:pPr>
        <w:pStyle w:val="paragraphsub"/>
      </w:pPr>
      <w:r w:rsidRPr="00D525A4">
        <w:tab/>
        <w:t>(ii)</w:t>
      </w:r>
      <w:r w:rsidRPr="00D525A4">
        <w:tab/>
        <w:t>the person’s business or principal activity; and</w:t>
      </w:r>
    </w:p>
    <w:p w14:paraId="57049B18" w14:textId="77777777" w:rsidR="00556396" w:rsidRPr="00D525A4" w:rsidRDefault="00556396" w:rsidP="00556396">
      <w:pPr>
        <w:pStyle w:val="paragraphsub"/>
      </w:pPr>
      <w:r w:rsidRPr="00D525A4">
        <w:tab/>
        <w:t>(iii)</w:t>
      </w:r>
      <w:r w:rsidRPr="00D525A4">
        <w:tab/>
        <w:t>the address at which the person’s business or principal activity is conducted; and</w:t>
      </w:r>
    </w:p>
    <w:p w14:paraId="66BEC59A" w14:textId="77777777" w:rsidR="00556396" w:rsidRPr="00D525A4" w:rsidRDefault="00556396" w:rsidP="00556396">
      <w:pPr>
        <w:pStyle w:val="paragraphsub"/>
      </w:pPr>
      <w:r w:rsidRPr="00D525A4">
        <w:tab/>
        <w:t>(iv)</w:t>
      </w:r>
      <w:r w:rsidRPr="00D525A4">
        <w:tab/>
        <w:t>the person’s telephone number; and</w:t>
      </w:r>
    </w:p>
    <w:p w14:paraId="3FAF95A3" w14:textId="77777777" w:rsidR="00556396" w:rsidRPr="00D525A4" w:rsidRDefault="00556396" w:rsidP="00556396">
      <w:pPr>
        <w:pStyle w:val="paragraphsub"/>
      </w:pPr>
      <w:r w:rsidRPr="00D525A4">
        <w:tab/>
        <w:t>(v)</w:t>
      </w:r>
      <w:r w:rsidRPr="00D525A4">
        <w:tab/>
        <w:t>if the person is registered in Australia—the person’s ABN, ACN and ARBN (as applicable);</w:t>
      </w:r>
    </w:p>
    <w:p w14:paraId="4E0C6F3F" w14:textId="77777777" w:rsidR="00556396" w:rsidRPr="00D525A4" w:rsidRDefault="00556396" w:rsidP="00556396">
      <w:pPr>
        <w:pStyle w:val="paragraph"/>
        <w:rPr>
          <w:sz w:val="23"/>
          <w:szCs w:val="23"/>
        </w:rPr>
      </w:pPr>
      <w:r w:rsidRPr="00D525A4">
        <w:tab/>
        <w:t>(c)</w:t>
      </w:r>
      <w:r w:rsidRPr="00D525A4">
        <w:tab/>
        <w:t xml:space="preserve">if the person is moving the monetary instrument on behalf of another person (the </w:t>
      </w:r>
      <w:r w:rsidRPr="00D525A4">
        <w:rPr>
          <w:b/>
          <w:i/>
        </w:rPr>
        <w:t>other person</w:t>
      </w:r>
      <w:r w:rsidRPr="00D525A4">
        <w:t>)—the following details of the other person</w:t>
      </w:r>
      <w:r w:rsidRPr="00D525A4">
        <w:rPr>
          <w:sz w:val="23"/>
          <w:szCs w:val="23"/>
        </w:rPr>
        <w:t>:</w:t>
      </w:r>
    </w:p>
    <w:p w14:paraId="4E14A658" w14:textId="2CD9DD24" w:rsidR="00556396" w:rsidRPr="00D525A4" w:rsidRDefault="00556396" w:rsidP="00556396">
      <w:pPr>
        <w:pStyle w:val="paragraphsub"/>
      </w:pPr>
      <w:r w:rsidRPr="00D525A4">
        <w:lastRenderedPageBreak/>
        <w:tab/>
        <w:t>(i)</w:t>
      </w:r>
      <w:r w:rsidRPr="00D525A4">
        <w:tab/>
        <w:t xml:space="preserve">if the other person is an individual—the details mentioned in </w:t>
      </w:r>
      <w:r w:rsidR="0013261E" w:rsidRPr="00D525A4">
        <w:t>sub</w:t>
      </w:r>
      <w:r w:rsidR="0010391B" w:rsidRPr="00D525A4">
        <w:t>paragraphs (</w:t>
      </w:r>
      <w:r w:rsidRPr="00D525A4">
        <w:t>a)(i), (iv), (v), (viii) and (ix);</w:t>
      </w:r>
    </w:p>
    <w:p w14:paraId="093E4B60" w14:textId="17955B8C" w:rsidR="00556396" w:rsidRPr="00D525A4" w:rsidRDefault="00556396" w:rsidP="00556396">
      <w:pPr>
        <w:pStyle w:val="paragraphsub"/>
      </w:pPr>
      <w:r w:rsidRPr="00D525A4">
        <w:tab/>
        <w:t>(ii)</w:t>
      </w:r>
      <w:r w:rsidRPr="00D525A4">
        <w:tab/>
        <w:t xml:space="preserve">if the other person is not an individual—the details mentioned in </w:t>
      </w:r>
      <w:r w:rsidR="0013261E" w:rsidRPr="00D525A4">
        <w:t>sub</w:t>
      </w:r>
      <w:r w:rsidR="0010391B" w:rsidRPr="00D525A4">
        <w:t>paragraphs (</w:t>
      </w:r>
      <w:r w:rsidRPr="00D525A4">
        <w:t>b)(i) to (v);</w:t>
      </w:r>
    </w:p>
    <w:p w14:paraId="35DE4757" w14:textId="77777777" w:rsidR="00556396" w:rsidRPr="00D525A4" w:rsidRDefault="00556396" w:rsidP="00556396">
      <w:pPr>
        <w:pStyle w:val="paragraph"/>
        <w:rPr>
          <w:sz w:val="23"/>
          <w:szCs w:val="23"/>
        </w:rPr>
      </w:pPr>
      <w:r w:rsidRPr="00D525A4">
        <w:tab/>
        <w:t>(d)</w:t>
      </w:r>
      <w:r w:rsidRPr="00D525A4">
        <w:tab/>
        <w:t xml:space="preserve">if the person is delivering the monetary instrument to another person (the </w:t>
      </w:r>
      <w:r w:rsidRPr="00D525A4">
        <w:rPr>
          <w:b/>
          <w:i/>
        </w:rPr>
        <w:t>other person</w:t>
      </w:r>
      <w:r w:rsidRPr="00D525A4">
        <w:t>)—the following details of the other person</w:t>
      </w:r>
      <w:r w:rsidRPr="00D525A4">
        <w:rPr>
          <w:sz w:val="23"/>
          <w:szCs w:val="23"/>
        </w:rPr>
        <w:t>:</w:t>
      </w:r>
    </w:p>
    <w:p w14:paraId="2B63A78D" w14:textId="24DF4F6E" w:rsidR="00556396" w:rsidRPr="00D525A4" w:rsidRDefault="00556396" w:rsidP="00556396">
      <w:pPr>
        <w:pStyle w:val="paragraphsub"/>
      </w:pPr>
      <w:r w:rsidRPr="00D525A4">
        <w:tab/>
        <w:t>(i)</w:t>
      </w:r>
      <w:r w:rsidRPr="00D525A4">
        <w:tab/>
        <w:t xml:space="preserve">if the other person is an individual—the details mentioned in </w:t>
      </w:r>
      <w:r w:rsidR="0013261E" w:rsidRPr="00D525A4">
        <w:t>sub</w:t>
      </w:r>
      <w:r w:rsidR="0010391B" w:rsidRPr="00D525A4">
        <w:t>paragraphs (</w:t>
      </w:r>
      <w:r w:rsidRPr="00D525A4">
        <w:t>a)(i), (iv), (v), (viii) and (ix);</w:t>
      </w:r>
    </w:p>
    <w:p w14:paraId="291FA8FC" w14:textId="10DA34FE" w:rsidR="00556396" w:rsidRPr="00D525A4" w:rsidRDefault="00556396" w:rsidP="00556396">
      <w:pPr>
        <w:pStyle w:val="paragraphsub"/>
      </w:pPr>
      <w:r w:rsidRPr="00D525A4">
        <w:tab/>
        <w:t>(ii)</w:t>
      </w:r>
      <w:r w:rsidRPr="00D525A4">
        <w:tab/>
        <w:t xml:space="preserve">if the other person is not an individual—the details mentioned in </w:t>
      </w:r>
      <w:r w:rsidR="0013261E" w:rsidRPr="00D525A4">
        <w:t>sub</w:t>
      </w:r>
      <w:r w:rsidR="0010391B" w:rsidRPr="00D525A4">
        <w:t>paragraphs (</w:t>
      </w:r>
      <w:r w:rsidRPr="00D525A4">
        <w:t>b)(i) to (v);</w:t>
      </w:r>
    </w:p>
    <w:p w14:paraId="3EA2A071" w14:textId="77777777" w:rsidR="00556396" w:rsidRPr="00D525A4" w:rsidRDefault="00556396" w:rsidP="00556396">
      <w:pPr>
        <w:pStyle w:val="paragraph"/>
      </w:pPr>
      <w:r w:rsidRPr="00D525A4">
        <w:tab/>
        <w:t>(e)</w:t>
      </w:r>
      <w:r w:rsidRPr="00D525A4">
        <w:tab/>
        <w:t>whether the monetary instrument is being moved into or out of Australia;</w:t>
      </w:r>
    </w:p>
    <w:p w14:paraId="7FF1E12B" w14:textId="77777777" w:rsidR="00556396" w:rsidRPr="00D525A4" w:rsidRDefault="00556396" w:rsidP="00556396">
      <w:pPr>
        <w:pStyle w:val="paragraph"/>
      </w:pPr>
      <w:r w:rsidRPr="00D525A4">
        <w:tab/>
        <w:t>(f)</w:t>
      </w:r>
      <w:r w:rsidRPr="00D525A4">
        <w:tab/>
        <w:t>the kind of monetary instrument being moved into or out of Australia;</w:t>
      </w:r>
    </w:p>
    <w:p w14:paraId="7D5831D1" w14:textId="77777777" w:rsidR="00556396" w:rsidRPr="00D525A4" w:rsidRDefault="00556396" w:rsidP="00556396">
      <w:pPr>
        <w:pStyle w:val="paragraph"/>
      </w:pPr>
      <w:r w:rsidRPr="00D525A4">
        <w:tab/>
        <w:t>(g)</w:t>
      </w:r>
      <w:r w:rsidRPr="00D525A4">
        <w:tab/>
        <w:t>the monetary instrument amount being moved into or out of Australia;</w:t>
      </w:r>
    </w:p>
    <w:p w14:paraId="3B7C213A" w14:textId="77777777" w:rsidR="00556396" w:rsidRPr="00D525A4" w:rsidRDefault="00556396" w:rsidP="00556396">
      <w:pPr>
        <w:pStyle w:val="paragraph"/>
      </w:pPr>
      <w:r w:rsidRPr="00D525A4">
        <w:tab/>
        <w:t>(h)</w:t>
      </w:r>
      <w:r w:rsidRPr="00D525A4">
        <w:tab/>
        <w:t>the currency of the monetary instrument being moved into or out of Australia;</w:t>
      </w:r>
    </w:p>
    <w:p w14:paraId="2413831E" w14:textId="77777777" w:rsidR="00556396" w:rsidRPr="00D525A4" w:rsidRDefault="00556396" w:rsidP="00556396">
      <w:pPr>
        <w:pStyle w:val="paragraph"/>
      </w:pPr>
      <w:r w:rsidRPr="00D525A4">
        <w:tab/>
        <w:t>(i)</w:t>
      </w:r>
      <w:r w:rsidRPr="00D525A4">
        <w:tab/>
        <w:t>if the monetary instrument is a bearer negotiable instrument:</w:t>
      </w:r>
    </w:p>
    <w:p w14:paraId="1B99CF99" w14:textId="77777777" w:rsidR="00556396" w:rsidRPr="00D525A4" w:rsidRDefault="00556396" w:rsidP="00556396">
      <w:pPr>
        <w:pStyle w:val="paragraphsub"/>
      </w:pPr>
      <w:r w:rsidRPr="00D525A4">
        <w:tab/>
        <w:t>(i)</w:t>
      </w:r>
      <w:r w:rsidRPr="00D525A4">
        <w:tab/>
        <w:t>the issuer or drawer of the monetary instrument; and</w:t>
      </w:r>
    </w:p>
    <w:p w14:paraId="76BDCECF" w14:textId="77777777" w:rsidR="00556396" w:rsidRPr="00D525A4" w:rsidRDefault="00556396" w:rsidP="00556396">
      <w:pPr>
        <w:pStyle w:val="paragraphsub"/>
      </w:pPr>
      <w:r w:rsidRPr="00D525A4">
        <w:tab/>
        <w:t>(ii)</w:t>
      </w:r>
      <w:r w:rsidRPr="00D525A4">
        <w:tab/>
        <w:t>the payee, favouree or beneficiary of the monetary instrument; and</w:t>
      </w:r>
    </w:p>
    <w:p w14:paraId="6AB3DE2C" w14:textId="49A9A738" w:rsidR="00556396" w:rsidRPr="00D525A4" w:rsidRDefault="00556396" w:rsidP="00556396">
      <w:pPr>
        <w:pStyle w:val="paragraphsub"/>
      </w:pPr>
      <w:r w:rsidRPr="00D525A4">
        <w:tab/>
        <w:t>(iii)</w:t>
      </w:r>
      <w:r w:rsidRPr="00D525A4">
        <w:tab/>
        <w:t xml:space="preserve">the </w:t>
      </w:r>
      <w:r w:rsidR="00B64841" w:rsidRPr="00D525A4">
        <w:t>full</w:t>
      </w:r>
      <w:r w:rsidR="000002BC" w:rsidRPr="00D525A4">
        <w:t xml:space="preserve"> </w:t>
      </w:r>
      <w:r w:rsidRPr="00D525A4">
        <w:t>name of the bearer of the monetary instrument; and</w:t>
      </w:r>
    </w:p>
    <w:p w14:paraId="115F2B4F" w14:textId="77777777" w:rsidR="00556396" w:rsidRPr="00D525A4" w:rsidRDefault="00556396" w:rsidP="00556396">
      <w:pPr>
        <w:pStyle w:val="paragraphsub"/>
      </w:pPr>
      <w:r w:rsidRPr="00D525A4">
        <w:tab/>
        <w:t>(iv)</w:t>
      </w:r>
      <w:r w:rsidRPr="00D525A4">
        <w:tab/>
        <w:t>the city and country of issue of the monetary instrument; and</w:t>
      </w:r>
    </w:p>
    <w:p w14:paraId="0B0D29B4" w14:textId="77777777" w:rsidR="00556396" w:rsidRPr="00D525A4" w:rsidRDefault="00556396" w:rsidP="00556396">
      <w:pPr>
        <w:pStyle w:val="paragraphsub"/>
      </w:pPr>
      <w:r w:rsidRPr="00D525A4">
        <w:tab/>
        <w:t>(v)</w:t>
      </w:r>
      <w:r w:rsidRPr="00D525A4">
        <w:tab/>
        <w:t>any reference numbers of the monetary instrument;</w:t>
      </w:r>
    </w:p>
    <w:p w14:paraId="1305941E" w14:textId="77777777" w:rsidR="00556396" w:rsidRPr="00D525A4" w:rsidRDefault="00556396" w:rsidP="00556396">
      <w:pPr>
        <w:pStyle w:val="paragraph"/>
      </w:pPr>
      <w:r w:rsidRPr="00D525A4">
        <w:tab/>
        <w:t>(j)</w:t>
      </w:r>
      <w:r w:rsidRPr="00D525A4">
        <w:tab/>
        <w:t>if the person is an individual and is bringing the monetary instrument into Australia or taking the instrument out of Australia:</w:t>
      </w:r>
    </w:p>
    <w:p w14:paraId="580FFF70" w14:textId="77777777" w:rsidR="00556396" w:rsidRPr="00D525A4" w:rsidRDefault="00556396" w:rsidP="00556396">
      <w:pPr>
        <w:pStyle w:val="paragraphsub"/>
      </w:pPr>
      <w:r w:rsidRPr="00D525A4">
        <w:tab/>
        <w:t>(i)</w:t>
      </w:r>
      <w:r w:rsidRPr="00D525A4">
        <w:tab/>
        <w:t>whether the person is travelling into or out of Australia; and</w:t>
      </w:r>
    </w:p>
    <w:p w14:paraId="78C762E5" w14:textId="77777777" w:rsidR="00556396" w:rsidRPr="00D525A4" w:rsidRDefault="00556396" w:rsidP="00556396">
      <w:pPr>
        <w:pStyle w:val="paragraphsub"/>
      </w:pPr>
      <w:r w:rsidRPr="00D525A4">
        <w:tab/>
        <w:t>(ii)</w:t>
      </w:r>
      <w:r w:rsidRPr="00D525A4">
        <w:tab/>
        <w:t>the town or city at which the person is entering or leaving Australia; and</w:t>
      </w:r>
    </w:p>
    <w:p w14:paraId="1429EB06" w14:textId="77777777" w:rsidR="00556396" w:rsidRPr="00D525A4" w:rsidRDefault="00556396" w:rsidP="00556396">
      <w:pPr>
        <w:pStyle w:val="paragraphsub"/>
      </w:pPr>
      <w:r w:rsidRPr="00D525A4">
        <w:tab/>
        <w:t>(iii)</w:t>
      </w:r>
      <w:r w:rsidRPr="00D525A4">
        <w:tab/>
        <w:t>the person’s date of arrival in or departure from Australia; and</w:t>
      </w:r>
    </w:p>
    <w:p w14:paraId="2729F429" w14:textId="77777777" w:rsidR="00556396" w:rsidRPr="00D525A4" w:rsidRDefault="00556396" w:rsidP="00556396">
      <w:pPr>
        <w:pStyle w:val="paragraphsub"/>
      </w:pPr>
      <w:r w:rsidRPr="00D525A4">
        <w:tab/>
        <w:t>(iv)</w:t>
      </w:r>
      <w:r w:rsidRPr="00D525A4">
        <w:tab/>
        <w:t>the number and country of issue of the passport on which the person is travelling; and</w:t>
      </w:r>
    </w:p>
    <w:p w14:paraId="0F889E77" w14:textId="77777777" w:rsidR="00556396" w:rsidRPr="00D525A4" w:rsidRDefault="00556396" w:rsidP="00556396">
      <w:pPr>
        <w:pStyle w:val="paragraphsub"/>
      </w:pPr>
      <w:r w:rsidRPr="00D525A4">
        <w:tab/>
        <w:t>(v)</w:t>
      </w:r>
      <w:r w:rsidRPr="00D525A4">
        <w:tab/>
        <w:t>where practicable—the number of each other passport held by the person and the country of issue for each passport; and</w:t>
      </w:r>
    </w:p>
    <w:p w14:paraId="0733FF58" w14:textId="77777777" w:rsidR="00556396" w:rsidRPr="00D525A4" w:rsidRDefault="00556396" w:rsidP="00556396">
      <w:pPr>
        <w:pStyle w:val="paragraphsub"/>
      </w:pPr>
      <w:r w:rsidRPr="00D525A4">
        <w:tab/>
        <w:t>(vi)</w:t>
      </w:r>
      <w:r w:rsidRPr="00D525A4">
        <w:tab/>
        <w:t>the number of the flight or name of the vessel on which the person is bringing in or taking out the instrument; and</w:t>
      </w:r>
    </w:p>
    <w:p w14:paraId="70D78AB6" w14:textId="77777777" w:rsidR="00556396" w:rsidRPr="00D525A4" w:rsidRDefault="00556396" w:rsidP="00556396">
      <w:pPr>
        <w:pStyle w:val="paragraphsub"/>
      </w:pPr>
      <w:r w:rsidRPr="00D525A4">
        <w:tab/>
        <w:t>(vii)</w:t>
      </w:r>
      <w:r w:rsidRPr="00D525A4">
        <w:tab/>
        <w:t>if the person is taking the monetary instrument out of Australia—the city and country to which the monetary instrument is being taken; and</w:t>
      </w:r>
    </w:p>
    <w:p w14:paraId="17F16DB8" w14:textId="77777777" w:rsidR="00556396" w:rsidRPr="00D525A4" w:rsidRDefault="00556396" w:rsidP="00556396">
      <w:pPr>
        <w:pStyle w:val="paragraphsub"/>
      </w:pPr>
      <w:r w:rsidRPr="00D525A4">
        <w:tab/>
        <w:t>(viii)</w:t>
      </w:r>
      <w:r w:rsidRPr="00D525A4">
        <w:tab/>
        <w:t>if the person is bringing the monetary instrument into Australia—the city and country from which the monetary instrument is being brought;</w:t>
      </w:r>
    </w:p>
    <w:p w14:paraId="240ADA3A" w14:textId="77777777" w:rsidR="00556396" w:rsidRPr="00D525A4" w:rsidRDefault="00556396" w:rsidP="00556396">
      <w:pPr>
        <w:pStyle w:val="paragraph"/>
      </w:pPr>
      <w:r w:rsidRPr="00D525A4">
        <w:tab/>
        <w:t>(k)</w:t>
      </w:r>
      <w:r w:rsidRPr="00D525A4">
        <w:tab/>
        <w:t>if the monetary instrument is being sent into or out of Australia:</w:t>
      </w:r>
    </w:p>
    <w:p w14:paraId="4F62A741" w14:textId="77777777" w:rsidR="00556396" w:rsidRPr="00D525A4" w:rsidRDefault="00556396" w:rsidP="00556396">
      <w:pPr>
        <w:pStyle w:val="paragraphsub"/>
      </w:pPr>
      <w:r w:rsidRPr="00D525A4">
        <w:tab/>
        <w:t>(i)</w:t>
      </w:r>
      <w:r w:rsidRPr="00D525A4">
        <w:tab/>
        <w:t>the means by which the monetary instrument is being sent; and</w:t>
      </w:r>
    </w:p>
    <w:p w14:paraId="16B74DB2" w14:textId="7F0FDD15" w:rsidR="00556396" w:rsidRPr="00D525A4" w:rsidRDefault="00556396" w:rsidP="00556396">
      <w:pPr>
        <w:pStyle w:val="paragraphsub"/>
      </w:pPr>
      <w:r w:rsidRPr="00D525A4">
        <w:tab/>
        <w:t>(ii)</w:t>
      </w:r>
      <w:r w:rsidRPr="00D525A4">
        <w:tab/>
        <w:t xml:space="preserve">the </w:t>
      </w:r>
      <w:r w:rsidR="000002BC" w:rsidRPr="00D525A4">
        <w:t xml:space="preserve">full </w:t>
      </w:r>
      <w:r w:rsidRPr="00D525A4">
        <w:t>name, address and telephone number of the individual or service provider carrying the monetary instrument into or out of Australia; and</w:t>
      </w:r>
    </w:p>
    <w:p w14:paraId="112C5A6B" w14:textId="77777777" w:rsidR="00556396" w:rsidRPr="00D525A4" w:rsidRDefault="00556396" w:rsidP="00556396">
      <w:pPr>
        <w:pStyle w:val="paragraphsub"/>
      </w:pPr>
      <w:r w:rsidRPr="00D525A4">
        <w:tab/>
        <w:t>(iii)</w:t>
      </w:r>
      <w:r w:rsidRPr="00D525A4">
        <w:tab/>
        <w:t>if the monetary instrument is to be shipped—the name of the vessel on which it is to be shipped; and</w:t>
      </w:r>
    </w:p>
    <w:p w14:paraId="6D95698D" w14:textId="77777777" w:rsidR="00556396" w:rsidRPr="00D525A4" w:rsidRDefault="00556396" w:rsidP="00556396">
      <w:pPr>
        <w:pStyle w:val="paragraphsub"/>
      </w:pPr>
      <w:r w:rsidRPr="00D525A4">
        <w:lastRenderedPageBreak/>
        <w:tab/>
        <w:t>(iv)</w:t>
      </w:r>
      <w:r w:rsidRPr="00D525A4">
        <w:tab/>
        <w:t>the city and country from which the monetary instrument is being sent; and</w:t>
      </w:r>
    </w:p>
    <w:p w14:paraId="17FF2649" w14:textId="77777777" w:rsidR="00556396" w:rsidRPr="00D525A4" w:rsidRDefault="00556396" w:rsidP="00556396">
      <w:pPr>
        <w:pStyle w:val="paragraphsub"/>
      </w:pPr>
      <w:r w:rsidRPr="00D525A4">
        <w:tab/>
        <w:t>(v)</w:t>
      </w:r>
      <w:r w:rsidRPr="00D525A4">
        <w:tab/>
        <w:t>the city and country to which the monetary instrument is being sent; and</w:t>
      </w:r>
    </w:p>
    <w:p w14:paraId="326C6CE7" w14:textId="77777777" w:rsidR="00556396" w:rsidRPr="00D525A4" w:rsidRDefault="00556396" w:rsidP="00556396">
      <w:pPr>
        <w:pStyle w:val="paragraphsub"/>
      </w:pPr>
      <w:r w:rsidRPr="00D525A4">
        <w:tab/>
        <w:t>(vi)</w:t>
      </w:r>
      <w:r w:rsidRPr="00D525A4">
        <w:tab/>
        <w:t>the date the monetary instrument is being sent;</w:t>
      </w:r>
    </w:p>
    <w:p w14:paraId="049A9E1B" w14:textId="77777777" w:rsidR="00556396" w:rsidRPr="00D525A4" w:rsidRDefault="00556396" w:rsidP="00556396">
      <w:pPr>
        <w:pStyle w:val="paragraph"/>
      </w:pPr>
      <w:r w:rsidRPr="00D525A4">
        <w:tab/>
        <w:t>(l)</w:t>
      </w:r>
      <w:r w:rsidRPr="00D525A4">
        <w:tab/>
        <w:t>if the monetary instrument is being sent into or out of Australia—the following details of the person to whom the monetary instrument is being sent:</w:t>
      </w:r>
    </w:p>
    <w:p w14:paraId="3AB03086" w14:textId="77777777" w:rsidR="00556396" w:rsidRPr="00D525A4" w:rsidRDefault="00556396" w:rsidP="00556396">
      <w:pPr>
        <w:pStyle w:val="paragraphsub"/>
      </w:pPr>
      <w:r w:rsidRPr="00D525A4">
        <w:tab/>
        <w:t>(i)</w:t>
      </w:r>
      <w:r w:rsidRPr="00D525A4">
        <w:tab/>
        <w:t>the person’s full name;</w:t>
      </w:r>
    </w:p>
    <w:p w14:paraId="14425FCC" w14:textId="77777777" w:rsidR="00556396" w:rsidRPr="00D525A4" w:rsidRDefault="00556396" w:rsidP="00556396">
      <w:pPr>
        <w:pStyle w:val="paragraphsub"/>
      </w:pPr>
      <w:r w:rsidRPr="00D525A4">
        <w:tab/>
        <w:t>(ii)</w:t>
      </w:r>
      <w:r w:rsidRPr="00D525A4">
        <w:tab/>
        <w:t>the person’s telephone number;</w:t>
      </w:r>
    </w:p>
    <w:p w14:paraId="5161C3CA" w14:textId="77777777" w:rsidR="00556396" w:rsidRPr="00D525A4" w:rsidRDefault="00556396" w:rsidP="00556396">
      <w:pPr>
        <w:pStyle w:val="paragraphsub"/>
      </w:pPr>
      <w:r w:rsidRPr="00D525A4">
        <w:tab/>
        <w:t>(iii)</w:t>
      </w:r>
      <w:r w:rsidRPr="00D525A4">
        <w:tab/>
        <w:t>if the person is an individual—the person’s residential address;</w:t>
      </w:r>
    </w:p>
    <w:p w14:paraId="2EA0FC71" w14:textId="77777777" w:rsidR="00556396" w:rsidRPr="00D525A4" w:rsidRDefault="00556396" w:rsidP="00556396">
      <w:pPr>
        <w:pStyle w:val="paragraphsub"/>
      </w:pPr>
      <w:r w:rsidRPr="00D525A4">
        <w:tab/>
        <w:t>(iv)</w:t>
      </w:r>
      <w:r w:rsidRPr="00D525A4">
        <w:tab/>
        <w:t>if the person is not an individual—the address at which the person’s business or principal activity is conducted;</w:t>
      </w:r>
    </w:p>
    <w:p w14:paraId="71014FA4" w14:textId="77777777" w:rsidR="00556396" w:rsidRPr="00D525A4" w:rsidRDefault="00556396" w:rsidP="00556396">
      <w:pPr>
        <w:pStyle w:val="paragraphsub"/>
      </w:pPr>
      <w:r w:rsidRPr="00D525A4">
        <w:tab/>
        <w:t>(v)</w:t>
      </w:r>
      <w:r w:rsidRPr="00D525A4">
        <w:tab/>
        <w:t>if the person is not an individual and is registered in Australia—the person’s ABN, ACN and ARBN (as applicable);</w:t>
      </w:r>
    </w:p>
    <w:p w14:paraId="5A59498D" w14:textId="321235F1" w:rsidR="00556396" w:rsidRPr="00D525A4" w:rsidRDefault="00556396" w:rsidP="00556396">
      <w:pPr>
        <w:pStyle w:val="paragraph"/>
      </w:pPr>
      <w:r w:rsidRPr="00D525A4">
        <w:tab/>
        <w:t>(m)</w:t>
      </w:r>
      <w:r w:rsidRPr="00D525A4">
        <w:tab/>
        <w:t>a declaration that the information provided in the approved form is true</w:t>
      </w:r>
      <w:r w:rsidR="009A6B27" w:rsidRPr="00D525A4">
        <w:t xml:space="preserve"> and correct</w:t>
      </w:r>
      <w:r w:rsidRPr="00D525A4">
        <w:t>.</w:t>
      </w:r>
    </w:p>
    <w:p w14:paraId="2E67938B" w14:textId="7E216762" w:rsidR="00556396" w:rsidRPr="00D525A4" w:rsidRDefault="00556396" w:rsidP="00556396">
      <w:pPr>
        <w:pStyle w:val="subsection"/>
      </w:pPr>
      <w:r w:rsidRPr="00D525A4">
        <w:tab/>
        <w:t>(3)</w:t>
      </w:r>
      <w:r w:rsidRPr="00D525A4">
        <w:tab/>
        <w:t xml:space="preserve">For the purposes of </w:t>
      </w:r>
      <w:r w:rsidR="009F59ED" w:rsidRPr="00D525A4">
        <w:t>paragraph (</w:t>
      </w:r>
      <w:r w:rsidRPr="00D525A4">
        <w:t>1)(b):</w:t>
      </w:r>
    </w:p>
    <w:p w14:paraId="569415DC" w14:textId="77777777" w:rsidR="00556396" w:rsidRPr="00D525A4" w:rsidRDefault="00556396" w:rsidP="00556396">
      <w:pPr>
        <w:pStyle w:val="paragraph"/>
      </w:pPr>
      <w:r w:rsidRPr="00D525A4">
        <w:tab/>
        <w:t>(a)</w:t>
      </w:r>
      <w:r w:rsidRPr="00D525A4">
        <w:tab/>
        <w:t>if the person moves a monetary instrument into Australia by bringing the instrument into Australia—the report must be given:</w:t>
      </w:r>
    </w:p>
    <w:p w14:paraId="0A177503" w14:textId="77777777" w:rsidR="00556396" w:rsidRPr="00D525A4" w:rsidRDefault="00556396" w:rsidP="00556396">
      <w:pPr>
        <w:pStyle w:val="paragraphsub"/>
      </w:pPr>
      <w:r w:rsidRPr="00D525A4">
        <w:tab/>
        <w:t>(i)</w:t>
      </w:r>
      <w:r w:rsidRPr="00D525A4">
        <w:tab/>
        <w:t>no later than when the person reaches the place at which customs officers examine baggage; or</w:t>
      </w:r>
    </w:p>
    <w:p w14:paraId="40F0B0A2" w14:textId="77777777" w:rsidR="00556396" w:rsidRPr="00D525A4" w:rsidRDefault="00556396" w:rsidP="00556396">
      <w:pPr>
        <w:pStyle w:val="paragraphsub"/>
      </w:pPr>
      <w:r w:rsidRPr="00D525A4">
        <w:tab/>
        <w:t>(ii)</w:t>
      </w:r>
      <w:r w:rsidRPr="00D525A4">
        <w:tab/>
        <w:t>if there is no such place, at the first opportunity that the person has to give the report after arrival in Australia; and</w:t>
      </w:r>
    </w:p>
    <w:p w14:paraId="6CB507B2" w14:textId="77777777" w:rsidR="00556396" w:rsidRPr="00D525A4" w:rsidRDefault="00556396" w:rsidP="00556396">
      <w:pPr>
        <w:pStyle w:val="paragraph"/>
      </w:pPr>
      <w:r w:rsidRPr="00D525A4">
        <w:tab/>
        <w:t>(b)</w:t>
      </w:r>
      <w:r w:rsidRPr="00D525A4">
        <w:tab/>
        <w:t>if the person moves a monetary instrument into Australia by sending the instrument into Australia—the report must be given before the movement of the instrument takes place; and</w:t>
      </w:r>
    </w:p>
    <w:p w14:paraId="77F5377D" w14:textId="77777777" w:rsidR="00556396" w:rsidRPr="00D525A4" w:rsidRDefault="00556396" w:rsidP="00556396">
      <w:pPr>
        <w:pStyle w:val="paragraph"/>
      </w:pPr>
      <w:r w:rsidRPr="00D525A4">
        <w:tab/>
        <w:t>(c)</w:t>
      </w:r>
      <w:r w:rsidRPr="00D525A4">
        <w:tab/>
        <w:t>if the person moves a monetary instrument out of Australia by taking the instrument out of Australia—the report must be given:</w:t>
      </w:r>
    </w:p>
    <w:p w14:paraId="155EB21F" w14:textId="77777777" w:rsidR="00556396" w:rsidRPr="00D525A4" w:rsidRDefault="00556396" w:rsidP="00556396">
      <w:pPr>
        <w:pStyle w:val="paragraphsub"/>
      </w:pPr>
      <w:r w:rsidRPr="00D525A4">
        <w:tab/>
        <w:t>(i)</w:t>
      </w:r>
      <w:r w:rsidRPr="00D525A4">
        <w:tab/>
        <w:t>no later than when the person reaches the customs officer who is to examine the person’s passport in relation to the person leaving Australia; or</w:t>
      </w:r>
    </w:p>
    <w:p w14:paraId="6CE3FE8A" w14:textId="77777777" w:rsidR="00556396" w:rsidRPr="00D525A4" w:rsidRDefault="00556396" w:rsidP="00556396">
      <w:pPr>
        <w:pStyle w:val="paragraphsub"/>
      </w:pPr>
      <w:r w:rsidRPr="00D525A4">
        <w:tab/>
        <w:t>(ii)</w:t>
      </w:r>
      <w:r w:rsidRPr="00D525A4">
        <w:tab/>
        <w:t>if there is no such examination, at any time before the last opportunity that the person has to give the report before leaving Australia; and</w:t>
      </w:r>
    </w:p>
    <w:p w14:paraId="01A8E594" w14:textId="77777777" w:rsidR="00556396" w:rsidRPr="00D525A4" w:rsidRDefault="00556396" w:rsidP="00556396">
      <w:pPr>
        <w:pStyle w:val="paragraph"/>
      </w:pPr>
      <w:r w:rsidRPr="00D525A4">
        <w:tab/>
        <w:t>(d)</w:t>
      </w:r>
      <w:r w:rsidRPr="00D525A4">
        <w:tab/>
        <w:t xml:space="preserve">if the person (the </w:t>
      </w:r>
      <w:r w:rsidRPr="00D525A4">
        <w:rPr>
          <w:b/>
          <w:i/>
        </w:rPr>
        <w:t>first person</w:t>
      </w:r>
      <w:r w:rsidRPr="00D525A4">
        <w:t>) moves a monetary instrument out of Australia by sending the instrument out of Australia by consignment, either through the post to a place outside Australia or to another person for carriage to a place outside Australia—the report must be given before the time when the instrument is irrevocably committed by the first person to a postal service or to the other person (as the case may be).</w:t>
      </w:r>
    </w:p>
    <w:p w14:paraId="477C128A" w14:textId="7FFF5170" w:rsidR="00556396" w:rsidRPr="00D525A4" w:rsidRDefault="00EC097E" w:rsidP="000A4E06">
      <w:pPr>
        <w:pStyle w:val="ActHead5"/>
      </w:pPr>
      <w:bookmarkStart w:id="181" w:name="_Toc198225064"/>
      <w:r w:rsidRPr="00D525A4">
        <w:rPr>
          <w:rStyle w:val="CharSectno"/>
        </w:rPr>
        <w:t>8</w:t>
      </w:r>
      <w:r w:rsidR="00D525A4">
        <w:rPr>
          <w:rStyle w:val="CharSectno"/>
        </w:rPr>
        <w:noBreakHyphen/>
      </w:r>
      <w:r w:rsidRPr="00D525A4">
        <w:rPr>
          <w:rStyle w:val="CharSectno"/>
        </w:rPr>
        <w:t>13</w:t>
      </w:r>
      <w:r w:rsidR="000A4E06" w:rsidRPr="00D525A4">
        <w:t xml:space="preserve">  </w:t>
      </w:r>
      <w:r w:rsidR="00556396" w:rsidRPr="00D525A4">
        <w:t>Report</w:t>
      </w:r>
      <w:r w:rsidR="00534522" w:rsidRPr="00D525A4">
        <w:t>s</w:t>
      </w:r>
      <w:r w:rsidR="00556396" w:rsidRPr="00D525A4">
        <w:t xml:space="preserve"> about receiving monetary instruments moved into Australia</w:t>
      </w:r>
      <w:bookmarkEnd w:id="181"/>
    </w:p>
    <w:p w14:paraId="7DE025AD" w14:textId="5DD3B1A5" w:rsidR="00556396" w:rsidRPr="00D525A4" w:rsidRDefault="00556396" w:rsidP="00556396">
      <w:pPr>
        <w:pStyle w:val="subsection"/>
      </w:pPr>
      <w:r w:rsidRPr="00D525A4">
        <w:tab/>
      </w:r>
      <w:r w:rsidRPr="00D525A4">
        <w:tab/>
        <w:t xml:space="preserve">If a person receives a monetary instrument moved into Australia, a report under </w:t>
      </w:r>
      <w:r w:rsidR="0013261E" w:rsidRPr="00D525A4">
        <w:t>section 5</w:t>
      </w:r>
      <w:r w:rsidRPr="00D525A4">
        <w:t>4 of the Act (reports about receipts of monetary instruments moved into Australia) must contain the following information (to the extent the information is known):</w:t>
      </w:r>
    </w:p>
    <w:p w14:paraId="1B125895" w14:textId="216A6F30" w:rsidR="00556396" w:rsidRPr="00D525A4" w:rsidRDefault="00556396" w:rsidP="00556396">
      <w:pPr>
        <w:pStyle w:val="paragraph"/>
      </w:pPr>
      <w:r w:rsidRPr="00D525A4">
        <w:lastRenderedPageBreak/>
        <w:tab/>
        <w:t>(a)</w:t>
      </w:r>
      <w:r w:rsidRPr="00D525A4">
        <w:tab/>
        <w:t>if the person is an individual—the details mentioned in subparagraphs </w:t>
      </w:r>
      <w:r w:rsidR="00EC097E" w:rsidRPr="00D525A4">
        <w:t>8</w:t>
      </w:r>
      <w:r w:rsidR="00D525A4">
        <w:noBreakHyphen/>
      </w:r>
      <w:r w:rsidR="00EC097E" w:rsidRPr="00D525A4">
        <w:t>12</w:t>
      </w:r>
      <w:r w:rsidRPr="00D525A4">
        <w:t>(2)(a)(i) to (ix);</w:t>
      </w:r>
    </w:p>
    <w:p w14:paraId="29DD13FD" w14:textId="0B385224" w:rsidR="00556396" w:rsidRPr="00D525A4" w:rsidRDefault="00556396" w:rsidP="00556396">
      <w:pPr>
        <w:pStyle w:val="paragraph"/>
      </w:pPr>
      <w:r w:rsidRPr="00D525A4">
        <w:tab/>
        <w:t>(b)</w:t>
      </w:r>
      <w:r w:rsidRPr="00D525A4">
        <w:tab/>
        <w:t>if the person is not an individual—the details mentioned in subparagraphs </w:t>
      </w:r>
      <w:r w:rsidR="00EC097E" w:rsidRPr="00D525A4">
        <w:t>8</w:t>
      </w:r>
      <w:r w:rsidR="00D525A4">
        <w:noBreakHyphen/>
      </w:r>
      <w:r w:rsidR="00EC097E" w:rsidRPr="00D525A4">
        <w:t>12</w:t>
      </w:r>
      <w:r w:rsidRPr="00D525A4">
        <w:t>(2)(b)(i) to (v);</w:t>
      </w:r>
    </w:p>
    <w:p w14:paraId="21548BCE" w14:textId="77777777" w:rsidR="00556396" w:rsidRPr="00D525A4" w:rsidRDefault="00556396" w:rsidP="00556396">
      <w:pPr>
        <w:pStyle w:val="paragraph"/>
      </w:pPr>
      <w:r w:rsidRPr="00D525A4">
        <w:tab/>
        <w:t>(c)</w:t>
      </w:r>
      <w:r w:rsidRPr="00D525A4">
        <w:tab/>
        <w:t xml:space="preserve">if the person received the monetary instrument on behalf of another person (the </w:t>
      </w:r>
      <w:r w:rsidRPr="00D525A4">
        <w:rPr>
          <w:b/>
          <w:i/>
        </w:rPr>
        <w:t>other person</w:t>
      </w:r>
      <w:r w:rsidRPr="00D525A4">
        <w:t>)—the following details of the other person:</w:t>
      </w:r>
    </w:p>
    <w:p w14:paraId="43842ED5" w14:textId="0AB3F06B" w:rsidR="00556396" w:rsidRPr="00D525A4" w:rsidRDefault="00556396" w:rsidP="00556396">
      <w:pPr>
        <w:pStyle w:val="paragraphsub"/>
      </w:pPr>
      <w:r w:rsidRPr="00D525A4">
        <w:tab/>
        <w:t>(i)</w:t>
      </w:r>
      <w:r w:rsidRPr="00D525A4">
        <w:tab/>
        <w:t>if the other person is an individual—the details mentioned in subparagraphs </w:t>
      </w:r>
      <w:r w:rsidR="00EC097E" w:rsidRPr="00D525A4">
        <w:t>8</w:t>
      </w:r>
      <w:r w:rsidR="00D525A4">
        <w:noBreakHyphen/>
      </w:r>
      <w:r w:rsidR="00EC097E" w:rsidRPr="00D525A4">
        <w:t>12</w:t>
      </w:r>
      <w:r w:rsidRPr="00D525A4">
        <w:t>(2)(a)(i), (iv), (v), (viii) and (ix);</w:t>
      </w:r>
    </w:p>
    <w:p w14:paraId="410588C8" w14:textId="341AFB55" w:rsidR="00556396" w:rsidRPr="00D525A4" w:rsidRDefault="00556396" w:rsidP="00556396">
      <w:pPr>
        <w:pStyle w:val="paragraphsub"/>
      </w:pPr>
      <w:r w:rsidRPr="00D525A4">
        <w:tab/>
        <w:t>(ii)</w:t>
      </w:r>
      <w:r w:rsidRPr="00D525A4">
        <w:tab/>
        <w:t>if the other person is not an individual—the details mentioned in subparagraphs </w:t>
      </w:r>
      <w:r w:rsidR="00EC097E" w:rsidRPr="00D525A4">
        <w:t>8</w:t>
      </w:r>
      <w:r w:rsidR="00D525A4">
        <w:noBreakHyphen/>
      </w:r>
      <w:r w:rsidR="00EC097E" w:rsidRPr="00D525A4">
        <w:t>12</w:t>
      </w:r>
      <w:r w:rsidRPr="00D525A4">
        <w:t>(2)(b)(i) to (v);</w:t>
      </w:r>
    </w:p>
    <w:p w14:paraId="0C5D2D9C" w14:textId="77777777" w:rsidR="00556396" w:rsidRPr="00D525A4" w:rsidRDefault="00556396" w:rsidP="00556396">
      <w:pPr>
        <w:pStyle w:val="paragraph"/>
        <w:rPr>
          <w:sz w:val="23"/>
          <w:szCs w:val="23"/>
        </w:rPr>
      </w:pPr>
      <w:r w:rsidRPr="00D525A4">
        <w:tab/>
        <w:t>(d)</w:t>
      </w:r>
      <w:r w:rsidRPr="00D525A4">
        <w:tab/>
        <w:t xml:space="preserve">if the person is delivering the monetary instrument to another person (the </w:t>
      </w:r>
      <w:r w:rsidRPr="00D525A4">
        <w:rPr>
          <w:b/>
          <w:i/>
        </w:rPr>
        <w:t>other person</w:t>
      </w:r>
      <w:r w:rsidRPr="00D525A4">
        <w:t>)—the following details of the other person</w:t>
      </w:r>
      <w:r w:rsidRPr="00D525A4">
        <w:rPr>
          <w:sz w:val="23"/>
          <w:szCs w:val="23"/>
        </w:rPr>
        <w:t>:</w:t>
      </w:r>
    </w:p>
    <w:p w14:paraId="6DAB820D" w14:textId="0A28CA24" w:rsidR="00556396" w:rsidRPr="00D525A4" w:rsidRDefault="00556396" w:rsidP="00556396">
      <w:pPr>
        <w:pStyle w:val="paragraphsub"/>
      </w:pPr>
      <w:r w:rsidRPr="00D525A4">
        <w:tab/>
        <w:t>(i)</w:t>
      </w:r>
      <w:r w:rsidRPr="00D525A4">
        <w:tab/>
        <w:t>if the other person is an individual—the details mentioned in subparagraphs </w:t>
      </w:r>
      <w:r w:rsidR="00EC097E" w:rsidRPr="00D525A4">
        <w:t>8</w:t>
      </w:r>
      <w:r w:rsidR="00D525A4">
        <w:noBreakHyphen/>
      </w:r>
      <w:r w:rsidR="00EC097E" w:rsidRPr="00D525A4">
        <w:t>12</w:t>
      </w:r>
      <w:r w:rsidRPr="00D525A4">
        <w:t>(2)(a)(i), (iv), (v), (viii) and (ix);</w:t>
      </w:r>
    </w:p>
    <w:p w14:paraId="67A91864" w14:textId="59DF8DE2" w:rsidR="00556396" w:rsidRPr="00D525A4" w:rsidRDefault="00556396" w:rsidP="00556396">
      <w:pPr>
        <w:pStyle w:val="paragraphsub"/>
      </w:pPr>
      <w:r w:rsidRPr="00D525A4">
        <w:tab/>
        <w:t>(ii)</w:t>
      </w:r>
      <w:r w:rsidRPr="00D525A4">
        <w:tab/>
        <w:t>if the other person is not an individual—the details mentioned in subparagraphs </w:t>
      </w:r>
      <w:r w:rsidR="00EC097E" w:rsidRPr="00D525A4">
        <w:t>8</w:t>
      </w:r>
      <w:r w:rsidR="00D525A4">
        <w:noBreakHyphen/>
      </w:r>
      <w:r w:rsidR="00EC097E" w:rsidRPr="00D525A4">
        <w:t>12</w:t>
      </w:r>
      <w:r w:rsidRPr="00D525A4">
        <w:t>(2)(b)(i) to (v);</w:t>
      </w:r>
    </w:p>
    <w:p w14:paraId="5D19B547" w14:textId="77777777" w:rsidR="00556396" w:rsidRPr="00D525A4" w:rsidRDefault="00556396" w:rsidP="00556396">
      <w:pPr>
        <w:pStyle w:val="paragraph"/>
      </w:pPr>
      <w:r w:rsidRPr="00D525A4">
        <w:tab/>
        <w:t>(e)</w:t>
      </w:r>
      <w:r w:rsidRPr="00D525A4">
        <w:tab/>
        <w:t>the kind of monetary instrument moved into Australia;</w:t>
      </w:r>
    </w:p>
    <w:p w14:paraId="3E4C55C9" w14:textId="77777777" w:rsidR="00556396" w:rsidRPr="00D525A4" w:rsidRDefault="00556396" w:rsidP="00556396">
      <w:pPr>
        <w:pStyle w:val="paragraph"/>
      </w:pPr>
      <w:r w:rsidRPr="00D525A4">
        <w:tab/>
        <w:t>(f)</w:t>
      </w:r>
      <w:r w:rsidRPr="00D525A4">
        <w:tab/>
        <w:t>the monetary instrument amount moved into Australia;</w:t>
      </w:r>
    </w:p>
    <w:p w14:paraId="1183D691" w14:textId="77777777" w:rsidR="00556396" w:rsidRPr="00D525A4" w:rsidRDefault="00556396" w:rsidP="00556396">
      <w:pPr>
        <w:pStyle w:val="paragraph"/>
      </w:pPr>
      <w:r w:rsidRPr="00D525A4">
        <w:tab/>
        <w:t>(g)</w:t>
      </w:r>
      <w:r w:rsidRPr="00D525A4">
        <w:tab/>
        <w:t>the currency of the monetary instrument;</w:t>
      </w:r>
    </w:p>
    <w:p w14:paraId="09CB244A" w14:textId="77777777" w:rsidR="00556396" w:rsidRPr="00D525A4" w:rsidRDefault="00556396" w:rsidP="00556396">
      <w:pPr>
        <w:pStyle w:val="paragraph"/>
      </w:pPr>
      <w:r w:rsidRPr="00D525A4">
        <w:tab/>
        <w:t>(h)</w:t>
      </w:r>
      <w:r w:rsidRPr="00D525A4">
        <w:tab/>
        <w:t>if the monetary instrument is a bearer negotiable instrument:</w:t>
      </w:r>
    </w:p>
    <w:p w14:paraId="513BD36B" w14:textId="77777777" w:rsidR="00556396" w:rsidRPr="00D525A4" w:rsidRDefault="00556396" w:rsidP="00556396">
      <w:pPr>
        <w:pStyle w:val="paragraphsub"/>
      </w:pPr>
      <w:r w:rsidRPr="00D525A4">
        <w:tab/>
        <w:t>(i)</w:t>
      </w:r>
      <w:r w:rsidRPr="00D525A4">
        <w:tab/>
        <w:t>the issuer or drawer of the monetary instrument; and</w:t>
      </w:r>
    </w:p>
    <w:p w14:paraId="7F2A93F9" w14:textId="77777777" w:rsidR="00556396" w:rsidRPr="00D525A4" w:rsidRDefault="00556396" w:rsidP="00556396">
      <w:pPr>
        <w:pStyle w:val="paragraphsub"/>
      </w:pPr>
      <w:r w:rsidRPr="00D525A4">
        <w:tab/>
        <w:t>(ii)</w:t>
      </w:r>
      <w:r w:rsidRPr="00D525A4">
        <w:tab/>
        <w:t>the payee, favouree or beneficiary of the monetary instrument; and</w:t>
      </w:r>
    </w:p>
    <w:p w14:paraId="1F7BAB13" w14:textId="75839D55" w:rsidR="00556396" w:rsidRPr="00D525A4" w:rsidRDefault="00556396" w:rsidP="00556396">
      <w:pPr>
        <w:pStyle w:val="paragraphsub"/>
      </w:pPr>
      <w:r w:rsidRPr="00D525A4">
        <w:tab/>
        <w:t>(iii)</w:t>
      </w:r>
      <w:r w:rsidRPr="00D525A4">
        <w:tab/>
        <w:t>the</w:t>
      </w:r>
      <w:r w:rsidR="000002BC" w:rsidRPr="00D525A4">
        <w:t xml:space="preserve"> </w:t>
      </w:r>
      <w:r w:rsidR="00B64841" w:rsidRPr="00D525A4">
        <w:t xml:space="preserve">full </w:t>
      </w:r>
      <w:r w:rsidRPr="00D525A4">
        <w:t>name of the bearer of the monetary instrument; and</w:t>
      </w:r>
    </w:p>
    <w:p w14:paraId="665EB5DE" w14:textId="77777777" w:rsidR="00556396" w:rsidRPr="00D525A4" w:rsidRDefault="00556396" w:rsidP="00556396">
      <w:pPr>
        <w:pStyle w:val="paragraphsub"/>
      </w:pPr>
      <w:r w:rsidRPr="00D525A4">
        <w:tab/>
        <w:t>(iv)</w:t>
      </w:r>
      <w:r w:rsidRPr="00D525A4">
        <w:tab/>
        <w:t>the city and country of issue of the monetary instrument; and</w:t>
      </w:r>
    </w:p>
    <w:p w14:paraId="5A73E7CE" w14:textId="77777777" w:rsidR="00556396" w:rsidRPr="00D525A4" w:rsidRDefault="00556396" w:rsidP="00556396">
      <w:pPr>
        <w:pStyle w:val="paragraphsub"/>
      </w:pPr>
      <w:r w:rsidRPr="00D525A4">
        <w:tab/>
        <w:t>(v)</w:t>
      </w:r>
      <w:r w:rsidRPr="00D525A4">
        <w:tab/>
        <w:t>any reference numbers of the monetary instrument;</w:t>
      </w:r>
    </w:p>
    <w:p w14:paraId="2B90A1BA" w14:textId="77777777" w:rsidR="00556396" w:rsidRPr="00D525A4" w:rsidRDefault="00556396" w:rsidP="00556396">
      <w:pPr>
        <w:pStyle w:val="paragraph"/>
      </w:pPr>
      <w:r w:rsidRPr="00D525A4">
        <w:tab/>
        <w:t>(i)</w:t>
      </w:r>
      <w:r w:rsidRPr="00D525A4">
        <w:tab/>
        <w:t>the means by which the monetary instrument was moved into Australia;</w:t>
      </w:r>
    </w:p>
    <w:p w14:paraId="669938E1" w14:textId="7F64B416" w:rsidR="00556396" w:rsidRPr="00D525A4" w:rsidRDefault="00556396" w:rsidP="00556396">
      <w:pPr>
        <w:pStyle w:val="paragraph"/>
      </w:pPr>
      <w:r w:rsidRPr="00D525A4">
        <w:tab/>
        <w:t>(j)</w:t>
      </w:r>
      <w:r w:rsidRPr="00D525A4">
        <w:tab/>
        <w:t xml:space="preserve">the </w:t>
      </w:r>
      <w:r w:rsidR="000002BC" w:rsidRPr="00D525A4">
        <w:t xml:space="preserve">full </w:t>
      </w:r>
      <w:r w:rsidRPr="00D525A4">
        <w:t>name of the individual or service provider who moved the monetary instrument into Australia;</w:t>
      </w:r>
    </w:p>
    <w:p w14:paraId="1F28078D" w14:textId="77777777" w:rsidR="00556396" w:rsidRPr="00D525A4" w:rsidRDefault="00556396" w:rsidP="00556396">
      <w:pPr>
        <w:pStyle w:val="paragraph"/>
      </w:pPr>
      <w:r w:rsidRPr="00D525A4">
        <w:tab/>
        <w:t>(k)</w:t>
      </w:r>
      <w:r w:rsidRPr="00D525A4">
        <w:tab/>
        <w:t xml:space="preserve">if the monetary instrument was sent into Australia—the following details of the person who sent the monetary instrument (the </w:t>
      </w:r>
      <w:r w:rsidRPr="00D525A4">
        <w:rPr>
          <w:b/>
          <w:i/>
        </w:rPr>
        <w:t>sender</w:t>
      </w:r>
      <w:r w:rsidRPr="00D525A4">
        <w:t>) to the person:</w:t>
      </w:r>
    </w:p>
    <w:p w14:paraId="5DB670B5" w14:textId="77777777" w:rsidR="00556396" w:rsidRPr="00D525A4" w:rsidRDefault="00556396" w:rsidP="00556396">
      <w:pPr>
        <w:pStyle w:val="paragraphsub"/>
      </w:pPr>
      <w:r w:rsidRPr="00D525A4">
        <w:tab/>
        <w:t>(i)</w:t>
      </w:r>
      <w:r w:rsidRPr="00D525A4">
        <w:tab/>
        <w:t>the sender’s full name;</w:t>
      </w:r>
    </w:p>
    <w:p w14:paraId="3B0EAA58" w14:textId="77777777" w:rsidR="00556396" w:rsidRPr="00D525A4" w:rsidRDefault="00556396" w:rsidP="00556396">
      <w:pPr>
        <w:pStyle w:val="paragraphsub"/>
      </w:pPr>
      <w:r w:rsidRPr="00D525A4">
        <w:tab/>
        <w:t>(ii)</w:t>
      </w:r>
      <w:r w:rsidRPr="00D525A4">
        <w:tab/>
        <w:t>the sender’s telephone number;</w:t>
      </w:r>
    </w:p>
    <w:p w14:paraId="3CA9BC99" w14:textId="77777777" w:rsidR="00556396" w:rsidRPr="00D525A4" w:rsidRDefault="00556396" w:rsidP="00556396">
      <w:pPr>
        <w:pStyle w:val="paragraphsub"/>
      </w:pPr>
      <w:r w:rsidRPr="00D525A4">
        <w:tab/>
        <w:t>(iii)</w:t>
      </w:r>
      <w:r w:rsidRPr="00D525A4">
        <w:tab/>
        <w:t>if the sender is an individual—the sender’s residential address;</w:t>
      </w:r>
    </w:p>
    <w:p w14:paraId="56B51020" w14:textId="77777777" w:rsidR="00556396" w:rsidRPr="00D525A4" w:rsidRDefault="00556396" w:rsidP="00556396">
      <w:pPr>
        <w:pStyle w:val="paragraphsub"/>
      </w:pPr>
      <w:r w:rsidRPr="00D525A4">
        <w:tab/>
        <w:t>(iv)</w:t>
      </w:r>
      <w:r w:rsidRPr="00D525A4">
        <w:tab/>
        <w:t>if the sender is not an individual—the address at which the sender’s business or principal activity is conducted;</w:t>
      </w:r>
    </w:p>
    <w:p w14:paraId="7B386D98" w14:textId="77777777" w:rsidR="00556396" w:rsidRPr="00D525A4" w:rsidRDefault="00556396" w:rsidP="00556396">
      <w:pPr>
        <w:pStyle w:val="paragraphsub"/>
      </w:pPr>
      <w:r w:rsidRPr="00D525A4">
        <w:tab/>
        <w:t>(v)</w:t>
      </w:r>
      <w:r w:rsidRPr="00D525A4">
        <w:tab/>
        <w:t>if the sender is not an individual and is registered in Australia—the sender’s ABN, ACN and ARBN (as applicable);</w:t>
      </w:r>
    </w:p>
    <w:p w14:paraId="3ED1557B" w14:textId="77777777" w:rsidR="00556396" w:rsidRPr="00D525A4" w:rsidRDefault="00556396" w:rsidP="00556396">
      <w:pPr>
        <w:pStyle w:val="paragraph"/>
      </w:pPr>
      <w:r w:rsidRPr="00D525A4">
        <w:tab/>
        <w:t>(l)</w:t>
      </w:r>
      <w:r w:rsidRPr="00D525A4">
        <w:tab/>
        <w:t>the city and country from which the monetary instrument was moved;</w:t>
      </w:r>
    </w:p>
    <w:p w14:paraId="7FC933DC" w14:textId="77777777" w:rsidR="00556396" w:rsidRPr="00D525A4" w:rsidRDefault="00556396" w:rsidP="00556396">
      <w:pPr>
        <w:pStyle w:val="paragraph"/>
      </w:pPr>
      <w:r w:rsidRPr="00D525A4">
        <w:tab/>
        <w:t>(m)</w:t>
      </w:r>
      <w:r w:rsidRPr="00D525A4">
        <w:tab/>
        <w:t>the city, town or port in which the monetary instrument was received by the person;</w:t>
      </w:r>
    </w:p>
    <w:p w14:paraId="64D77981" w14:textId="77777777" w:rsidR="00556396" w:rsidRPr="00D525A4" w:rsidRDefault="00556396" w:rsidP="00556396">
      <w:pPr>
        <w:pStyle w:val="paragraph"/>
      </w:pPr>
      <w:r w:rsidRPr="00D525A4">
        <w:tab/>
        <w:t>(n)</w:t>
      </w:r>
      <w:r w:rsidRPr="00D525A4">
        <w:tab/>
        <w:t>the date the monetary instrument was received by the person;</w:t>
      </w:r>
    </w:p>
    <w:p w14:paraId="395D29FF" w14:textId="555B380A" w:rsidR="00556396" w:rsidRPr="00D525A4" w:rsidRDefault="00556396" w:rsidP="00556396">
      <w:pPr>
        <w:pStyle w:val="paragraph"/>
      </w:pPr>
      <w:r w:rsidRPr="00D525A4">
        <w:tab/>
        <w:t>(o)</w:t>
      </w:r>
      <w:r w:rsidRPr="00D525A4">
        <w:tab/>
        <w:t>a declaration that the information provided in the approved form is true</w:t>
      </w:r>
      <w:r w:rsidR="009A6B27" w:rsidRPr="00D525A4">
        <w:t xml:space="preserve"> and correct</w:t>
      </w:r>
      <w:r w:rsidRPr="00D525A4">
        <w:t>.</w:t>
      </w:r>
    </w:p>
    <w:p w14:paraId="4620F733" w14:textId="77777777" w:rsidR="00556396" w:rsidRPr="00D525A4" w:rsidRDefault="00556396" w:rsidP="00556396">
      <w:pPr>
        <w:pStyle w:val="notetext"/>
      </w:pPr>
      <w:r w:rsidRPr="00D525A4">
        <w:t>Note:</w:t>
      </w:r>
      <w:r w:rsidRPr="00D525A4">
        <w:tab/>
        <w:t>The report must be given in the approved form before the end of 5 business days beginning on the day of receipt (see paragraphs 54(4)(a) and (d) of the Act).</w:t>
      </w:r>
    </w:p>
    <w:p w14:paraId="79B83804" w14:textId="705309E4" w:rsidR="00556396" w:rsidRPr="00D525A4" w:rsidRDefault="00EC097E" w:rsidP="006C14B7">
      <w:pPr>
        <w:pStyle w:val="ActHead5"/>
      </w:pPr>
      <w:bookmarkStart w:id="182" w:name="_Toc198225065"/>
      <w:r w:rsidRPr="00D525A4">
        <w:rPr>
          <w:rStyle w:val="CharSectno"/>
        </w:rPr>
        <w:lastRenderedPageBreak/>
        <w:t>8</w:t>
      </w:r>
      <w:r w:rsidR="00D525A4">
        <w:rPr>
          <w:rStyle w:val="CharSectno"/>
        </w:rPr>
        <w:noBreakHyphen/>
      </w:r>
      <w:r w:rsidRPr="00D525A4">
        <w:rPr>
          <w:rStyle w:val="CharSectno"/>
        </w:rPr>
        <w:t>14</w:t>
      </w:r>
      <w:r w:rsidR="00D479A1" w:rsidRPr="00D525A4">
        <w:t xml:space="preserve">  Af</w:t>
      </w:r>
      <w:r w:rsidR="00556396" w:rsidRPr="00D525A4">
        <w:t>fixing of notices about cross</w:t>
      </w:r>
      <w:r w:rsidR="00D525A4">
        <w:noBreakHyphen/>
      </w:r>
      <w:r w:rsidR="00556396" w:rsidRPr="00D525A4">
        <w:t>border movement reporting obligations</w:t>
      </w:r>
      <w:bookmarkEnd w:id="182"/>
    </w:p>
    <w:p w14:paraId="2B49DF26" w14:textId="792635B4" w:rsidR="00E1214A" w:rsidRPr="00D525A4" w:rsidRDefault="006C14B7" w:rsidP="00D479A1">
      <w:pPr>
        <w:pStyle w:val="subsection"/>
      </w:pPr>
      <w:r w:rsidRPr="00D525A4">
        <w:tab/>
      </w:r>
      <w:r w:rsidR="00D479A1" w:rsidRPr="00D525A4">
        <w:t>(1)</w:t>
      </w:r>
      <w:r w:rsidR="00D479A1" w:rsidRPr="00D525A4">
        <w:tab/>
      </w:r>
      <w:r w:rsidR="00204723" w:rsidRPr="00D525A4">
        <w:t>This section applies to a</w:t>
      </w:r>
      <w:r w:rsidR="00473879" w:rsidRPr="00D525A4">
        <w:t xml:space="preserve"> written notice that relates to reporting obligations under </w:t>
      </w:r>
      <w:r w:rsidRPr="00D525A4">
        <w:t>Part 4</w:t>
      </w:r>
      <w:r w:rsidR="00473879" w:rsidRPr="00D525A4">
        <w:t xml:space="preserve"> of the Act (</w:t>
      </w:r>
      <w:r w:rsidR="00707EC7" w:rsidRPr="00D525A4">
        <w:t xml:space="preserve">reports about </w:t>
      </w:r>
      <w:r w:rsidR="00473879" w:rsidRPr="00D525A4">
        <w:t>cross</w:t>
      </w:r>
      <w:r w:rsidR="00D525A4">
        <w:noBreakHyphen/>
      </w:r>
      <w:r w:rsidR="00473879" w:rsidRPr="00D525A4">
        <w:t>border movements of monetary instruments</w:t>
      </w:r>
      <w:r w:rsidR="00707EC7" w:rsidRPr="00D525A4">
        <w:t>)</w:t>
      </w:r>
      <w:r w:rsidR="00204723" w:rsidRPr="00D525A4">
        <w:t>.</w:t>
      </w:r>
    </w:p>
    <w:p w14:paraId="4C028BA5" w14:textId="77777777" w:rsidR="00204723" w:rsidRPr="00D525A4" w:rsidRDefault="00204723" w:rsidP="00D479A1">
      <w:pPr>
        <w:pStyle w:val="subsection"/>
      </w:pPr>
      <w:r w:rsidRPr="00D525A4">
        <w:tab/>
        <w:t>(2)</w:t>
      </w:r>
      <w:r w:rsidRPr="00D525A4">
        <w:tab/>
        <w:t>The written notice:</w:t>
      </w:r>
    </w:p>
    <w:p w14:paraId="18B426CA" w14:textId="77777777" w:rsidR="00473879" w:rsidRPr="00D525A4" w:rsidRDefault="00E1214A" w:rsidP="00E1214A">
      <w:pPr>
        <w:pStyle w:val="paragraph"/>
      </w:pPr>
      <w:r w:rsidRPr="00D525A4">
        <w:tab/>
        <w:t>(a)</w:t>
      </w:r>
      <w:r w:rsidRPr="00D525A4">
        <w:tab/>
      </w:r>
      <w:r w:rsidR="00707EC7" w:rsidRPr="00D525A4">
        <w:t>must be in one of the following forms:</w:t>
      </w:r>
    </w:p>
    <w:p w14:paraId="5240D1CC" w14:textId="488016CA" w:rsidR="00707EC7" w:rsidRPr="00D525A4" w:rsidRDefault="00707EC7" w:rsidP="00E1214A">
      <w:pPr>
        <w:pStyle w:val="paragraphsub"/>
      </w:pPr>
      <w:r w:rsidRPr="00D525A4">
        <w:tab/>
      </w:r>
      <w:r w:rsidR="00556396" w:rsidRPr="00D525A4">
        <w:t>(</w:t>
      </w:r>
      <w:r w:rsidR="00E1214A" w:rsidRPr="00D525A4">
        <w:t>i</w:t>
      </w:r>
      <w:r w:rsidR="00556396" w:rsidRPr="00D525A4">
        <w:t>)</w:t>
      </w:r>
      <w:r w:rsidR="00556396" w:rsidRPr="00D525A4">
        <w:tab/>
        <w:t>a self</w:t>
      </w:r>
      <w:r w:rsidR="00D525A4">
        <w:noBreakHyphen/>
      </w:r>
      <w:r w:rsidR="00556396" w:rsidRPr="00D525A4">
        <w:t>standing sign;</w:t>
      </w:r>
    </w:p>
    <w:p w14:paraId="1BBD64B7" w14:textId="77777777" w:rsidR="00707EC7" w:rsidRPr="00D525A4" w:rsidRDefault="00707EC7" w:rsidP="00E1214A">
      <w:pPr>
        <w:pStyle w:val="paragraphsub"/>
      </w:pPr>
      <w:r w:rsidRPr="00D525A4">
        <w:tab/>
      </w:r>
      <w:r w:rsidR="00E1214A" w:rsidRPr="00D525A4">
        <w:t>(ii</w:t>
      </w:r>
      <w:r w:rsidRPr="00D525A4">
        <w:t>)</w:t>
      </w:r>
      <w:r w:rsidRPr="00D525A4">
        <w:tab/>
        <w:t>a digital or electronic sign;</w:t>
      </w:r>
    </w:p>
    <w:p w14:paraId="4BCD7FA5" w14:textId="77777777" w:rsidR="00556396" w:rsidRPr="00D525A4" w:rsidRDefault="00707EC7" w:rsidP="00E1214A">
      <w:pPr>
        <w:pStyle w:val="paragraphsub"/>
      </w:pPr>
      <w:r w:rsidRPr="00D525A4">
        <w:tab/>
        <w:t>(</w:t>
      </w:r>
      <w:r w:rsidR="00E1214A" w:rsidRPr="00D525A4">
        <w:t>iii</w:t>
      </w:r>
      <w:r w:rsidRPr="00D525A4">
        <w:t>)</w:t>
      </w:r>
      <w:r w:rsidRPr="00D525A4">
        <w:tab/>
        <w:t>a sign in any other material form</w:t>
      </w:r>
      <w:r w:rsidR="00E1214A" w:rsidRPr="00D525A4">
        <w:t>; and</w:t>
      </w:r>
    </w:p>
    <w:p w14:paraId="25A6BB81" w14:textId="77777777" w:rsidR="00556396" w:rsidRPr="00D525A4" w:rsidRDefault="00E1214A" w:rsidP="00E1214A">
      <w:pPr>
        <w:pStyle w:val="paragraph"/>
        <w:rPr>
          <w:color w:val="000000"/>
        </w:rPr>
      </w:pPr>
      <w:r w:rsidRPr="00D525A4">
        <w:tab/>
        <w:t>(b)</w:t>
      </w:r>
      <w:r w:rsidRPr="00D525A4">
        <w:tab/>
        <w:t xml:space="preserve">must contain the following </w:t>
      </w:r>
      <w:r w:rsidR="00556396" w:rsidRPr="00D525A4">
        <w:rPr>
          <w:color w:val="000000"/>
        </w:rPr>
        <w:t>content</w:t>
      </w:r>
      <w:r w:rsidRPr="00D525A4">
        <w:rPr>
          <w:color w:val="000000"/>
        </w:rPr>
        <w:t xml:space="preserve"> (</w:t>
      </w:r>
      <w:r w:rsidR="00556396" w:rsidRPr="00D525A4">
        <w:rPr>
          <w:color w:val="000000"/>
        </w:rPr>
        <w:t>with or without the inclusion of any other words</w:t>
      </w:r>
      <w:r w:rsidRPr="00D525A4">
        <w:rPr>
          <w:color w:val="000000"/>
        </w:rPr>
        <w:t>)</w:t>
      </w:r>
      <w:r w:rsidR="00556396" w:rsidRPr="00D525A4">
        <w:rPr>
          <w:color w:val="000000"/>
        </w:rPr>
        <w:t>:</w:t>
      </w:r>
    </w:p>
    <w:p w14:paraId="0874002F" w14:textId="77777777" w:rsidR="00556396" w:rsidRPr="00D525A4" w:rsidRDefault="0080707F" w:rsidP="0080707F">
      <w:pPr>
        <w:pStyle w:val="paragraphsub"/>
      </w:pPr>
      <w:r w:rsidRPr="00D525A4">
        <w:tab/>
      </w:r>
      <w:r w:rsidRPr="00D525A4">
        <w:tab/>
      </w:r>
      <w:r w:rsidR="00556396" w:rsidRPr="00D525A4">
        <w:t>Australian Government</w:t>
      </w:r>
    </w:p>
    <w:p w14:paraId="6537C704" w14:textId="77777777" w:rsidR="00556396" w:rsidRPr="00D525A4" w:rsidRDefault="0080707F" w:rsidP="0080707F">
      <w:pPr>
        <w:pStyle w:val="paragraphsub"/>
      </w:pPr>
      <w:r w:rsidRPr="00D525A4">
        <w:tab/>
      </w:r>
      <w:r w:rsidRPr="00D525A4">
        <w:tab/>
      </w:r>
      <w:r w:rsidR="00556396" w:rsidRPr="00D525A4">
        <w:t>Australian Transaction Reports and Analysis Centre</w:t>
      </w:r>
    </w:p>
    <w:p w14:paraId="27DACA48" w14:textId="77777777" w:rsidR="00556396" w:rsidRPr="00D525A4" w:rsidRDefault="0080707F" w:rsidP="0080707F">
      <w:pPr>
        <w:pStyle w:val="paragraphsub"/>
      </w:pPr>
      <w:r w:rsidRPr="00D525A4">
        <w:tab/>
      </w:r>
      <w:r w:rsidRPr="00D525A4">
        <w:tab/>
      </w:r>
      <w:r w:rsidR="00556396" w:rsidRPr="00D525A4">
        <w:t>Carrying $10,000 or more into or out of Australia?</w:t>
      </w:r>
    </w:p>
    <w:p w14:paraId="0F8F003B" w14:textId="77777777" w:rsidR="00556396" w:rsidRPr="00D525A4" w:rsidRDefault="0080707F" w:rsidP="0080707F">
      <w:pPr>
        <w:pStyle w:val="paragraphsub"/>
      </w:pPr>
      <w:r w:rsidRPr="00D525A4">
        <w:tab/>
      </w:r>
      <w:r w:rsidRPr="00D525A4">
        <w:tab/>
      </w:r>
      <w:r w:rsidR="00556396" w:rsidRPr="00D525A4">
        <w:t>You must report: cash, traveller’s cheques, cheques, money orders, or other bearer negotiable instruments</w:t>
      </w:r>
    </w:p>
    <w:p w14:paraId="7C088343" w14:textId="77777777" w:rsidR="00556396" w:rsidRPr="00D525A4" w:rsidRDefault="0080707F" w:rsidP="0080707F">
      <w:pPr>
        <w:pStyle w:val="paragraphsub"/>
      </w:pPr>
      <w:r w:rsidRPr="00D525A4">
        <w:tab/>
      </w:r>
      <w:r w:rsidRPr="00D525A4">
        <w:tab/>
      </w:r>
      <w:r w:rsidR="00556396" w:rsidRPr="00D525A4">
        <w:t>These a</w:t>
      </w:r>
      <w:r w:rsidRPr="00D525A4">
        <w:t>r</w:t>
      </w:r>
      <w:r w:rsidR="00556396" w:rsidRPr="00D525A4">
        <w:t>e monetary instruments. By law you must report the movement of monetary instruments if the sum of the monetary instrument amount is AUD$10,000 or more (or foreign currency equivalent). Note there is no limit to the sum of monetary instruments amounts you can carry in and out of Australia.</w:t>
      </w:r>
    </w:p>
    <w:p w14:paraId="6DA0AB81" w14:textId="77777777" w:rsidR="00556396" w:rsidRPr="00D525A4" w:rsidRDefault="00204723" w:rsidP="00204723">
      <w:pPr>
        <w:pStyle w:val="subsection"/>
      </w:pPr>
      <w:r w:rsidRPr="00D525A4">
        <w:rPr>
          <w:color w:val="000000"/>
        </w:rPr>
        <w:tab/>
        <w:t>(3)</w:t>
      </w:r>
      <w:r w:rsidRPr="00D525A4">
        <w:rPr>
          <w:color w:val="000000"/>
        </w:rPr>
        <w:tab/>
        <w:t xml:space="preserve">The written notice </w:t>
      </w:r>
      <w:r w:rsidR="00556396" w:rsidRPr="00D525A4">
        <w:t>may be affixed at:</w:t>
      </w:r>
    </w:p>
    <w:p w14:paraId="47E071F8" w14:textId="4E823AFA" w:rsidR="00556396" w:rsidRPr="00D525A4" w:rsidRDefault="00204723" w:rsidP="00204723">
      <w:pPr>
        <w:pStyle w:val="paragraph"/>
      </w:pPr>
      <w:r w:rsidRPr="00D525A4">
        <w:tab/>
      </w:r>
      <w:r w:rsidR="00556396" w:rsidRPr="00D525A4">
        <w:t>(</w:t>
      </w:r>
      <w:r w:rsidRPr="00D525A4">
        <w:t>a</w:t>
      </w:r>
      <w:r w:rsidR="00556396" w:rsidRPr="00D525A4">
        <w:t>)</w:t>
      </w:r>
      <w:r w:rsidR="00556396" w:rsidRPr="00D525A4">
        <w:tab/>
        <w:t xml:space="preserve">any port, airport, wharf, or boarding station that is appointed under </w:t>
      </w:r>
      <w:r w:rsidR="0013261E" w:rsidRPr="00D525A4">
        <w:t>section 1</w:t>
      </w:r>
      <w:r w:rsidR="00556396" w:rsidRPr="00D525A4">
        <w:t xml:space="preserve">5 of the </w:t>
      </w:r>
      <w:r w:rsidR="00556396" w:rsidRPr="00D525A4">
        <w:rPr>
          <w:i/>
        </w:rPr>
        <w:t>Customs Act 1901</w:t>
      </w:r>
      <w:r w:rsidR="00556396" w:rsidRPr="00D525A4">
        <w:t xml:space="preserve">; </w:t>
      </w:r>
      <w:r w:rsidR="009D2BC4" w:rsidRPr="00D525A4">
        <w:t>or</w:t>
      </w:r>
    </w:p>
    <w:p w14:paraId="0881058C" w14:textId="17DE4097" w:rsidR="00CD6A08" w:rsidRPr="00D525A4" w:rsidRDefault="00204723" w:rsidP="00CD6A08">
      <w:pPr>
        <w:pStyle w:val="paragraph"/>
        <w:rPr>
          <w:szCs w:val="22"/>
        </w:rPr>
      </w:pPr>
      <w:r w:rsidRPr="00D525A4">
        <w:tab/>
      </w:r>
      <w:r w:rsidR="00556396" w:rsidRPr="00D525A4">
        <w:t>(</w:t>
      </w:r>
      <w:r w:rsidRPr="00D525A4">
        <w:t>b</w:t>
      </w:r>
      <w:r w:rsidR="00556396" w:rsidRPr="00D525A4">
        <w:t>)</w:t>
      </w:r>
      <w:r w:rsidR="00556396" w:rsidRPr="00D525A4">
        <w:tab/>
        <w:t xml:space="preserve">a place to which </w:t>
      </w:r>
      <w:r w:rsidR="0010391B" w:rsidRPr="00D525A4">
        <w:t>section 2</w:t>
      </w:r>
      <w:r w:rsidR="00556396" w:rsidRPr="00D525A4">
        <w:t xml:space="preserve">34AA of the </w:t>
      </w:r>
      <w:r w:rsidR="00556396" w:rsidRPr="00D525A4">
        <w:rPr>
          <w:i/>
        </w:rPr>
        <w:t>Customs Act 1901</w:t>
      </w:r>
      <w:r w:rsidR="00556396" w:rsidRPr="00D525A4">
        <w:t xml:space="preserve"> applies that is not a place, or a part of a place, referred to in </w:t>
      </w:r>
      <w:r w:rsidR="009F59ED" w:rsidRPr="00D525A4">
        <w:t>paragraph (</w:t>
      </w:r>
      <w:r w:rsidR="009D2BC4" w:rsidRPr="00D525A4">
        <w:t>a</w:t>
      </w:r>
      <w:r w:rsidR="00556396" w:rsidRPr="00D525A4">
        <w:t>).</w:t>
      </w:r>
    </w:p>
    <w:p w14:paraId="099AA974" w14:textId="752DCAC4" w:rsidR="00D86399" w:rsidRPr="00D525A4" w:rsidRDefault="0013261E" w:rsidP="00D86399">
      <w:pPr>
        <w:pStyle w:val="ActHead2"/>
        <w:pageBreakBefore/>
      </w:pPr>
      <w:bookmarkStart w:id="183" w:name="_Toc198225066"/>
      <w:r w:rsidRPr="00D525A4">
        <w:rPr>
          <w:rStyle w:val="CharPartNo"/>
        </w:rPr>
        <w:lastRenderedPageBreak/>
        <w:t>Part </w:t>
      </w:r>
      <w:r w:rsidR="00B32C14" w:rsidRPr="00D525A4">
        <w:rPr>
          <w:rStyle w:val="CharPartNo"/>
        </w:rPr>
        <w:t>9</w:t>
      </w:r>
      <w:r w:rsidR="00D86399" w:rsidRPr="00D525A4">
        <w:t>—</w:t>
      </w:r>
      <w:r w:rsidR="00D86399" w:rsidRPr="00D525A4">
        <w:rPr>
          <w:rStyle w:val="CharPartText"/>
        </w:rPr>
        <w:t>Secrecy and access</w:t>
      </w:r>
      <w:bookmarkEnd w:id="183"/>
    </w:p>
    <w:p w14:paraId="0D636ABC" w14:textId="77777777" w:rsidR="00B42B42" w:rsidRPr="00D525A4" w:rsidRDefault="00F9597A" w:rsidP="00F9597A">
      <w:pPr>
        <w:pStyle w:val="Header"/>
      </w:pPr>
      <w:r w:rsidRPr="00D525A4">
        <w:rPr>
          <w:rStyle w:val="CharDivNo"/>
        </w:rPr>
        <w:t xml:space="preserve"> </w:t>
      </w:r>
      <w:r w:rsidRPr="00D525A4">
        <w:rPr>
          <w:rStyle w:val="CharDivText"/>
        </w:rPr>
        <w:t xml:space="preserve"> </w:t>
      </w:r>
    </w:p>
    <w:p w14:paraId="3A026C7D" w14:textId="6184361F" w:rsidR="00F9597A" w:rsidRPr="00D525A4" w:rsidRDefault="00EC097E" w:rsidP="00F9597A">
      <w:pPr>
        <w:pStyle w:val="ActHead5"/>
      </w:pPr>
      <w:bookmarkStart w:id="184" w:name="_Toc198225067"/>
      <w:r w:rsidRPr="00D525A4">
        <w:rPr>
          <w:rStyle w:val="CharSectno"/>
        </w:rPr>
        <w:t>9</w:t>
      </w:r>
      <w:r w:rsidR="00D525A4">
        <w:rPr>
          <w:rStyle w:val="CharSectno"/>
        </w:rPr>
        <w:noBreakHyphen/>
      </w:r>
      <w:r w:rsidRPr="00D525A4">
        <w:rPr>
          <w:rStyle w:val="CharSectno"/>
        </w:rPr>
        <w:t>1</w:t>
      </w:r>
      <w:r w:rsidR="00F9597A" w:rsidRPr="00D525A4">
        <w:t xml:space="preserve">  Disclosure of AUSTRAC information to foreign countries or agencies</w:t>
      </w:r>
      <w:bookmarkEnd w:id="184"/>
    </w:p>
    <w:p w14:paraId="0A08C81D" w14:textId="0A0B4F3E" w:rsidR="00F9597A" w:rsidRPr="00D525A4" w:rsidRDefault="00F9597A" w:rsidP="00F9597A">
      <w:pPr>
        <w:pStyle w:val="subsection"/>
      </w:pPr>
      <w:r w:rsidRPr="00D525A4">
        <w:tab/>
      </w:r>
      <w:r w:rsidRPr="00D525A4">
        <w:tab/>
        <w:t xml:space="preserve">For the purposes of </w:t>
      </w:r>
      <w:r w:rsidR="0010391B" w:rsidRPr="00D525A4">
        <w:t>paragraph 1</w:t>
      </w:r>
      <w:r w:rsidRPr="00D525A4">
        <w:t>27(2)(a)</w:t>
      </w:r>
      <w:r w:rsidR="007E5831" w:rsidRPr="00D525A4">
        <w:t xml:space="preserve"> of the Act</w:t>
      </w:r>
      <w:r w:rsidRPr="00D525A4">
        <w:t>, th</w:t>
      </w:r>
      <w:r w:rsidR="00CA07EC" w:rsidRPr="00D525A4">
        <w:t>e</w:t>
      </w:r>
      <w:r w:rsidRPr="00D525A4">
        <w:t xml:space="preserve"> </w:t>
      </w:r>
      <w:r w:rsidR="006C14B7" w:rsidRPr="00D525A4">
        <w:t xml:space="preserve">following Commonwealth, State or Territory </w:t>
      </w:r>
      <w:r w:rsidRPr="00D525A4">
        <w:t>agencies are prescribed</w:t>
      </w:r>
      <w:r w:rsidR="00CA07EC" w:rsidRPr="00D525A4">
        <w:t>:</w:t>
      </w:r>
    </w:p>
    <w:p w14:paraId="0DF1A5B4" w14:textId="1D9364C5" w:rsidR="00692DB7" w:rsidRPr="00D525A4" w:rsidRDefault="00CA07EC" w:rsidP="00692DB7">
      <w:pPr>
        <w:pStyle w:val="paragraph"/>
      </w:pPr>
      <w:r w:rsidRPr="00D525A4">
        <w:tab/>
        <w:t>(a)</w:t>
      </w:r>
      <w:r w:rsidRPr="00D525A4">
        <w:tab/>
      </w:r>
      <w:r w:rsidR="003B7978" w:rsidRPr="00D525A4">
        <w:t xml:space="preserve">the </w:t>
      </w:r>
      <w:r w:rsidR="008E24DB" w:rsidRPr="00D525A4">
        <w:t>Attorney</w:t>
      </w:r>
      <w:r w:rsidR="00D525A4">
        <w:noBreakHyphen/>
      </w:r>
      <w:r w:rsidR="008E24DB" w:rsidRPr="00D525A4">
        <w:t>General’s Department</w:t>
      </w:r>
      <w:r w:rsidR="003B7978" w:rsidRPr="00D525A4">
        <w:t>;</w:t>
      </w:r>
    </w:p>
    <w:p w14:paraId="0A6EA177" w14:textId="77777777" w:rsidR="00331D93" w:rsidRPr="00D525A4" w:rsidRDefault="00331D93" w:rsidP="00692DB7">
      <w:pPr>
        <w:pStyle w:val="paragraph"/>
      </w:pPr>
      <w:r w:rsidRPr="00D525A4">
        <w:tab/>
        <w:t>(b)</w:t>
      </w:r>
      <w:r w:rsidRPr="00D525A4">
        <w:tab/>
        <w:t>the Foreign Affairs Department;</w:t>
      </w:r>
    </w:p>
    <w:p w14:paraId="5135191D" w14:textId="77777777" w:rsidR="00331D93" w:rsidRPr="00D525A4" w:rsidRDefault="00331D93" w:rsidP="00692DB7">
      <w:pPr>
        <w:pStyle w:val="paragraph"/>
        <w:rPr>
          <w:rFonts w:eastAsiaTheme="minorEastAsia"/>
        </w:rPr>
      </w:pPr>
      <w:r w:rsidRPr="00D525A4">
        <w:tab/>
        <w:t>(c)</w:t>
      </w:r>
      <w:r w:rsidRPr="00D525A4">
        <w:tab/>
      </w:r>
      <w:r w:rsidRPr="00D525A4">
        <w:rPr>
          <w:rFonts w:eastAsiaTheme="minorEastAsia"/>
        </w:rPr>
        <w:t>the Home Affairs Department;</w:t>
      </w:r>
    </w:p>
    <w:p w14:paraId="7D1140ED" w14:textId="6742A44F" w:rsidR="00212D13" w:rsidRPr="00D525A4" w:rsidRDefault="00212D13" w:rsidP="00212D13">
      <w:pPr>
        <w:pStyle w:val="paragraph"/>
        <w:rPr>
          <w:rFonts w:eastAsiaTheme="minorEastAsia"/>
        </w:rPr>
      </w:pPr>
      <w:r w:rsidRPr="00D525A4">
        <w:rPr>
          <w:rFonts w:eastAsiaTheme="minorEastAsia"/>
        </w:rPr>
        <w:tab/>
        <w:t>(d)</w:t>
      </w:r>
      <w:r w:rsidRPr="00D525A4">
        <w:rPr>
          <w:rFonts w:eastAsiaTheme="minorEastAsia"/>
        </w:rPr>
        <w:tab/>
        <w:t>that part of the Defence Department known as the Australian Geospatial</w:t>
      </w:r>
      <w:r w:rsidR="00D525A4">
        <w:rPr>
          <w:rFonts w:eastAsiaTheme="minorEastAsia"/>
        </w:rPr>
        <w:noBreakHyphen/>
      </w:r>
      <w:r w:rsidRPr="00D525A4">
        <w:rPr>
          <w:rFonts w:eastAsiaTheme="minorEastAsia"/>
        </w:rPr>
        <w:t>Intelligence Organisation, and includes any part of the Defence Force that performs functions on behalf of that part of the Department;</w:t>
      </w:r>
    </w:p>
    <w:p w14:paraId="19F4CAAC" w14:textId="77777777" w:rsidR="00212D13" w:rsidRPr="00D525A4" w:rsidRDefault="00212D13" w:rsidP="00212D13">
      <w:pPr>
        <w:pStyle w:val="paragraph"/>
      </w:pPr>
      <w:r w:rsidRPr="00D525A4">
        <w:rPr>
          <w:rFonts w:eastAsiaTheme="minorEastAsia"/>
        </w:rPr>
        <w:tab/>
        <w:t>(e)</w:t>
      </w:r>
      <w:r w:rsidRPr="00D525A4">
        <w:rPr>
          <w:rFonts w:eastAsiaTheme="minorEastAsia"/>
        </w:rPr>
        <w:tab/>
        <w:t>that part of the Defence Department known as the Defence Intelligence Organisation, and includes any part of the Defence Force that performs functions on behalf of that part of the Department;</w:t>
      </w:r>
    </w:p>
    <w:p w14:paraId="5F0FE4A6" w14:textId="77777777" w:rsidR="0043459E" w:rsidRPr="00D525A4" w:rsidRDefault="0043459E" w:rsidP="00CA07EC">
      <w:pPr>
        <w:pStyle w:val="paragraph"/>
        <w:rPr>
          <w:rFonts w:eastAsiaTheme="minorEastAsia"/>
        </w:rPr>
      </w:pPr>
      <w:r w:rsidRPr="00D525A4">
        <w:rPr>
          <w:rFonts w:eastAsiaTheme="minorEastAsia"/>
        </w:rPr>
        <w:tab/>
        <w:t>(</w:t>
      </w:r>
      <w:r w:rsidR="00212D13" w:rsidRPr="00D525A4">
        <w:rPr>
          <w:rFonts w:eastAsiaTheme="minorEastAsia"/>
        </w:rPr>
        <w:t>f</w:t>
      </w:r>
      <w:r w:rsidRPr="00D525A4">
        <w:rPr>
          <w:rFonts w:eastAsiaTheme="minorEastAsia"/>
        </w:rPr>
        <w:t>)</w:t>
      </w:r>
      <w:r w:rsidRPr="00D525A4">
        <w:rPr>
          <w:rFonts w:eastAsiaTheme="minorEastAsia"/>
        </w:rPr>
        <w:tab/>
        <w:t>the Australian Crime Commission;</w:t>
      </w:r>
    </w:p>
    <w:p w14:paraId="7FC3AF09" w14:textId="77777777" w:rsidR="00BF7333" w:rsidRPr="00D525A4" w:rsidRDefault="0043459E" w:rsidP="00CA07EC">
      <w:pPr>
        <w:pStyle w:val="paragraph"/>
        <w:rPr>
          <w:rFonts w:eastAsiaTheme="minorEastAsia"/>
        </w:rPr>
      </w:pPr>
      <w:r w:rsidRPr="00D525A4">
        <w:rPr>
          <w:rFonts w:eastAsiaTheme="minorEastAsia"/>
        </w:rPr>
        <w:tab/>
      </w:r>
      <w:r w:rsidR="00CA07EC" w:rsidRPr="00D525A4">
        <w:rPr>
          <w:rFonts w:eastAsiaTheme="minorEastAsia"/>
        </w:rPr>
        <w:t>(</w:t>
      </w:r>
      <w:r w:rsidR="00212D13" w:rsidRPr="00D525A4">
        <w:rPr>
          <w:rFonts w:eastAsiaTheme="minorEastAsia"/>
        </w:rPr>
        <w:t>g</w:t>
      </w:r>
      <w:r w:rsidR="00CA07EC" w:rsidRPr="00D525A4">
        <w:rPr>
          <w:rFonts w:eastAsiaTheme="minorEastAsia"/>
        </w:rPr>
        <w:t>)</w:t>
      </w:r>
      <w:r w:rsidR="00CA07EC" w:rsidRPr="00D525A4">
        <w:rPr>
          <w:rFonts w:eastAsiaTheme="minorEastAsia"/>
        </w:rPr>
        <w:tab/>
      </w:r>
      <w:r w:rsidR="00BF7333" w:rsidRPr="00D525A4">
        <w:rPr>
          <w:rFonts w:eastAsiaTheme="minorEastAsia"/>
        </w:rPr>
        <w:t>the Australian Federal Police;</w:t>
      </w:r>
    </w:p>
    <w:p w14:paraId="111EDA58" w14:textId="77777777" w:rsidR="00BF7333" w:rsidRPr="00D525A4" w:rsidRDefault="0043459E" w:rsidP="00CA07EC">
      <w:pPr>
        <w:pStyle w:val="paragraph"/>
        <w:rPr>
          <w:rFonts w:eastAsiaTheme="minorEastAsia"/>
        </w:rPr>
      </w:pPr>
      <w:r w:rsidRPr="00D525A4">
        <w:rPr>
          <w:rFonts w:eastAsiaTheme="minorEastAsia"/>
        </w:rPr>
        <w:tab/>
      </w:r>
      <w:r w:rsidR="00CA07EC" w:rsidRPr="00D525A4">
        <w:rPr>
          <w:rFonts w:eastAsiaTheme="minorEastAsia"/>
        </w:rPr>
        <w:t>(</w:t>
      </w:r>
      <w:r w:rsidR="00212D13" w:rsidRPr="00D525A4">
        <w:rPr>
          <w:rFonts w:eastAsiaTheme="minorEastAsia"/>
        </w:rPr>
        <w:t>h</w:t>
      </w:r>
      <w:r w:rsidR="00CA07EC" w:rsidRPr="00D525A4">
        <w:rPr>
          <w:rFonts w:eastAsiaTheme="minorEastAsia"/>
        </w:rPr>
        <w:t>)</w:t>
      </w:r>
      <w:r w:rsidR="00CA07EC" w:rsidRPr="00D525A4">
        <w:rPr>
          <w:rFonts w:eastAsiaTheme="minorEastAsia"/>
        </w:rPr>
        <w:tab/>
      </w:r>
      <w:r w:rsidR="00BF7333" w:rsidRPr="00D525A4">
        <w:rPr>
          <w:rFonts w:eastAsiaTheme="minorEastAsia"/>
        </w:rPr>
        <w:t>the Australian Prudential Regulation Authority;</w:t>
      </w:r>
    </w:p>
    <w:p w14:paraId="67AB0F00" w14:textId="77777777" w:rsidR="00702A26" w:rsidRPr="00D525A4" w:rsidRDefault="00702A26" w:rsidP="00CA07EC">
      <w:pPr>
        <w:pStyle w:val="paragraph"/>
        <w:rPr>
          <w:rFonts w:eastAsiaTheme="minorEastAsia"/>
        </w:rPr>
      </w:pPr>
      <w:r w:rsidRPr="00D525A4">
        <w:rPr>
          <w:rFonts w:eastAsiaTheme="minorEastAsia"/>
        </w:rPr>
        <w:tab/>
        <w:t>(</w:t>
      </w:r>
      <w:r w:rsidR="00212D13" w:rsidRPr="00D525A4">
        <w:rPr>
          <w:rFonts w:eastAsiaTheme="minorEastAsia"/>
        </w:rPr>
        <w:t>i</w:t>
      </w:r>
      <w:r w:rsidRPr="00D525A4">
        <w:rPr>
          <w:rFonts w:eastAsiaTheme="minorEastAsia"/>
        </w:rPr>
        <w:t>)</w:t>
      </w:r>
      <w:r w:rsidRPr="00D525A4">
        <w:rPr>
          <w:rFonts w:eastAsiaTheme="minorEastAsia"/>
        </w:rPr>
        <w:tab/>
        <w:t>the Australian Secret Intelligence Service;</w:t>
      </w:r>
    </w:p>
    <w:p w14:paraId="286B5336" w14:textId="77777777" w:rsidR="00BF7333" w:rsidRPr="00D525A4" w:rsidRDefault="00CA07EC" w:rsidP="00CA07EC">
      <w:pPr>
        <w:pStyle w:val="paragraph"/>
        <w:rPr>
          <w:rFonts w:eastAsiaTheme="minorEastAsia"/>
        </w:rPr>
      </w:pPr>
      <w:r w:rsidRPr="00D525A4">
        <w:rPr>
          <w:rFonts w:eastAsiaTheme="minorEastAsia"/>
        </w:rPr>
        <w:tab/>
        <w:t>(</w:t>
      </w:r>
      <w:r w:rsidR="00212D13" w:rsidRPr="00D525A4">
        <w:rPr>
          <w:rFonts w:eastAsiaTheme="minorEastAsia"/>
        </w:rPr>
        <w:t>j</w:t>
      </w:r>
      <w:r w:rsidRPr="00D525A4">
        <w:rPr>
          <w:rFonts w:eastAsiaTheme="minorEastAsia"/>
        </w:rPr>
        <w:t>)</w:t>
      </w:r>
      <w:r w:rsidRPr="00D525A4">
        <w:rPr>
          <w:rFonts w:eastAsiaTheme="minorEastAsia"/>
        </w:rPr>
        <w:tab/>
      </w:r>
      <w:r w:rsidR="00BF7333" w:rsidRPr="00D525A4">
        <w:rPr>
          <w:rFonts w:eastAsiaTheme="minorEastAsia"/>
        </w:rPr>
        <w:t>the Australian Securities and Investments Commission;</w:t>
      </w:r>
    </w:p>
    <w:p w14:paraId="3863FAC9" w14:textId="77777777" w:rsidR="00BF7333" w:rsidRPr="00D525A4" w:rsidRDefault="00CA07EC" w:rsidP="00CA07EC">
      <w:pPr>
        <w:pStyle w:val="paragraph"/>
        <w:rPr>
          <w:rFonts w:eastAsiaTheme="minorEastAsia"/>
        </w:rPr>
      </w:pPr>
      <w:r w:rsidRPr="00D525A4">
        <w:rPr>
          <w:rFonts w:eastAsiaTheme="minorEastAsia"/>
        </w:rPr>
        <w:tab/>
        <w:t>(</w:t>
      </w:r>
      <w:r w:rsidR="00212D13" w:rsidRPr="00D525A4">
        <w:rPr>
          <w:rFonts w:eastAsiaTheme="minorEastAsia"/>
        </w:rPr>
        <w:t>k</w:t>
      </w:r>
      <w:r w:rsidRPr="00D525A4">
        <w:rPr>
          <w:rFonts w:eastAsiaTheme="minorEastAsia"/>
        </w:rPr>
        <w:t>)</w:t>
      </w:r>
      <w:r w:rsidRPr="00D525A4">
        <w:rPr>
          <w:rFonts w:eastAsiaTheme="minorEastAsia"/>
        </w:rPr>
        <w:tab/>
      </w:r>
      <w:r w:rsidR="00BF7333" w:rsidRPr="00D525A4">
        <w:rPr>
          <w:rFonts w:eastAsiaTheme="minorEastAsia"/>
        </w:rPr>
        <w:t>the Australian Security Intelligence Organisation;</w:t>
      </w:r>
    </w:p>
    <w:p w14:paraId="6E98C563" w14:textId="77777777" w:rsidR="00BF7333" w:rsidRPr="00D525A4" w:rsidRDefault="00CA07EC" w:rsidP="00CA07EC">
      <w:pPr>
        <w:pStyle w:val="paragraph"/>
        <w:rPr>
          <w:rFonts w:eastAsiaTheme="minorEastAsia"/>
        </w:rPr>
      </w:pPr>
      <w:r w:rsidRPr="00D525A4">
        <w:rPr>
          <w:rFonts w:eastAsiaTheme="minorEastAsia"/>
        </w:rPr>
        <w:tab/>
        <w:t>(</w:t>
      </w:r>
      <w:r w:rsidR="00212D13" w:rsidRPr="00D525A4">
        <w:rPr>
          <w:rFonts w:eastAsiaTheme="minorEastAsia"/>
        </w:rPr>
        <w:t>l</w:t>
      </w:r>
      <w:r w:rsidRPr="00D525A4">
        <w:rPr>
          <w:rFonts w:eastAsiaTheme="minorEastAsia"/>
        </w:rPr>
        <w:t>)</w:t>
      </w:r>
      <w:r w:rsidRPr="00D525A4">
        <w:rPr>
          <w:rFonts w:eastAsiaTheme="minorEastAsia"/>
        </w:rPr>
        <w:tab/>
      </w:r>
      <w:r w:rsidR="00BF7333" w:rsidRPr="00D525A4">
        <w:rPr>
          <w:rFonts w:eastAsiaTheme="minorEastAsia"/>
        </w:rPr>
        <w:t>the Australian Signals Directorate;</w:t>
      </w:r>
    </w:p>
    <w:p w14:paraId="75D95508" w14:textId="77777777" w:rsidR="00AA2786" w:rsidRPr="00D525A4" w:rsidRDefault="0043459E" w:rsidP="00CB2914">
      <w:pPr>
        <w:pStyle w:val="paragraph"/>
        <w:rPr>
          <w:rFonts w:eastAsiaTheme="minorEastAsia"/>
        </w:rPr>
      </w:pPr>
      <w:r w:rsidRPr="00D525A4">
        <w:rPr>
          <w:rFonts w:eastAsiaTheme="minorEastAsia"/>
        </w:rPr>
        <w:tab/>
        <w:t>(</w:t>
      </w:r>
      <w:r w:rsidR="00212D13" w:rsidRPr="00D525A4">
        <w:rPr>
          <w:rFonts w:eastAsiaTheme="minorEastAsia"/>
        </w:rPr>
        <w:t>m</w:t>
      </w:r>
      <w:r w:rsidRPr="00D525A4">
        <w:rPr>
          <w:rFonts w:eastAsiaTheme="minorEastAsia"/>
        </w:rPr>
        <w:t>)</w:t>
      </w:r>
      <w:r w:rsidRPr="00D525A4">
        <w:rPr>
          <w:rFonts w:eastAsiaTheme="minorEastAsia"/>
        </w:rPr>
        <w:tab/>
        <w:t>the Australian Taxation Office</w:t>
      </w:r>
      <w:r w:rsidR="00AA2786" w:rsidRPr="00D525A4">
        <w:t>;</w:t>
      </w:r>
    </w:p>
    <w:p w14:paraId="2DA00DAB" w14:textId="40720A5D" w:rsidR="00AA2786" w:rsidRPr="00D525A4" w:rsidRDefault="00CB2914" w:rsidP="00CB2914">
      <w:pPr>
        <w:pStyle w:val="paragraph"/>
        <w:rPr>
          <w:rFonts w:eastAsiaTheme="minorEastAsia"/>
        </w:rPr>
      </w:pPr>
      <w:r w:rsidRPr="00D525A4">
        <w:rPr>
          <w:rFonts w:eastAsiaTheme="minorEastAsia"/>
        </w:rPr>
        <w:tab/>
        <w:t>(</w:t>
      </w:r>
      <w:r w:rsidR="00212D13" w:rsidRPr="00D525A4">
        <w:rPr>
          <w:rFonts w:eastAsiaTheme="minorEastAsia"/>
        </w:rPr>
        <w:t>n</w:t>
      </w:r>
      <w:r w:rsidRPr="00D525A4">
        <w:rPr>
          <w:rFonts w:eastAsiaTheme="minorEastAsia"/>
        </w:rPr>
        <w:t>)</w:t>
      </w:r>
      <w:r w:rsidRPr="00D525A4">
        <w:rPr>
          <w:rFonts w:eastAsiaTheme="minorEastAsia"/>
        </w:rPr>
        <w:tab/>
      </w:r>
      <w:r w:rsidR="00AA2786" w:rsidRPr="00D525A4">
        <w:rPr>
          <w:rFonts w:eastAsiaTheme="minorEastAsia"/>
        </w:rPr>
        <w:t>the National Anti</w:t>
      </w:r>
      <w:r w:rsidR="00D525A4">
        <w:rPr>
          <w:rFonts w:eastAsiaTheme="minorEastAsia"/>
        </w:rPr>
        <w:noBreakHyphen/>
      </w:r>
      <w:r w:rsidR="00AA2786" w:rsidRPr="00D525A4">
        <w:rPr>
          <w:rFonts w:eastAsiaTheme="minorEastAsia"/>
        </w:rPr>
        <w:t>Corruption Commission;</w:t>
      </w:r>
    </w:p>
    <w:p w14:paraId="7039130A" w14:textId="77777777" w:rsidR="004C706E" w:rsidRPr="00D525A4" w:rsidRDefault="00CA07EC" w:rsidP="00AA2786">
      <w:pPr>
        <w:pStyle w:val="paragraph"/>
        <w:rPr>
          <w:rFonts w:eastAsiaTheme="minorEastAsia"/>
        </w:rPr>
      </w:pPr>
      <w:r w:rsidRPr="00D525A4">
        <w:rPr>
          <w:rFonts w:eastAsiaTheme="minorEastAsia"/>
        </w:rPr>
        <w:tab/>
        <w:t>(</w:t>
      </w:r>
      <w:r w:rsidR="00212D13" w:rsidRPr="00D525A4">
        <w:rPr>
          <w:rFonts w:eastAsiaTheme="minorEastAsia"/>
        </w:rPr>
        <w:t>o</w:t>
      </w:r>
      <w:r w:rsidRPr="00D525A4">
        <w:rPr>
          <w:rFonts w:eastAsiaTheme="minorEastAsia"/>
        </w:rPr>
        <w:t>)</w:t>
      </w:r>
      <w:r w:rsidRPr="00D525A4">
        <w:rPr>
          <w:rFonts w:eastAsiaTheme="minorEastAsia"/>
        </w:rPr>
        <w:tab/>
      </w:r>
      <w:r w:rsidR="00BF7333" w:rsidRPr="00D525A4">
        <w:rPr>
          <w:rFonts w:eastAsiaTheme="minorEastAsia"/>
        </w:rPr>
        <w:t>the Office of National Intelligence</w:t>
      </w:r>
      <w:r w:rsidR="00212D13" w:rsidRPr="00D525A4">
        <w:rPr>
          <w:rFonts w:eastAsiaTheme="minorEastAsia"/>
        </w:rPr>
        <w:t>.</w:t>
      </w:r>
    </w:p>
    <w:p w14:paraId="42DFF407" w14:textId="043C9AE0" w:rsidR="00D86399" w:rsidRPr="00D525A4" w:rsidRDefault="0013261E" w:rsidP="00D86399">
      <w:pPr>
        <w:pStyle w:val="ActHead2"/>
        <w:pageBreakBefore/>
      </w:pPr>
      <w:bookmarkStart w:id="185" w:name="_Toc198225068"/>
      <w:r w:rsidRPr="00D525A4">
        <w:rPr>
          <w:rStyle w:val="CharPartNo"/>
        </w:rPr>
        <w:lastRenderedPageBreak/>
        <w:t>Part 1</w:t>
      </w:r>
      <w:r w:rsidR="00B32C14" w:rsidRPr="00D525A4">
        <w:rPr>
          <w:rStyle w:val="CharPartNo"/>
        </w:rPr>
        <w:t>0</w:t>
      </w:r>
      <w:r w:rsidR="00D86399" w:rsidRPr="00D525A4">
        <w:t>—</w:t>
      </w:r>
      <w:r w:rsidR="00D86399" w:rsidRPr="00D525A4">
        <w:rPr>
          <w:rStyle w:val="CharPartText"/>
        </w:rPr>
        <w:t>Other matters</w:t>
      </w:r>
      <w:bookmarkEnd w:id="185"/>
    </w:p>
    <w:p w14:paraId="24A1807E" w14:textId="77777777" w:rsidR="00C7261F" w:rsidRPr="00D525A4" w:rsidRDefault="00C7261F" w:rsidP="00C7261F">
      <w:pPr>
        <w:pStyle w:val="Header"/>
      </w:pPr>
      <w:r w:rsidRPr="00D525A4">
        <w:rPr>
          <w:rStyle w:val="CharDivNo"/>
        </w:rPr>
        <w:t xml:space="preserve"> </w:t>
      </w:r>
      <w:r w:rsidRPr="00D525A4">
        <w:rPr>
          <w:rStyle w:val="CharDivText"/>
        </w:rPr>
        <w:t xml:space="preserve"> </w:t>
      </w:r>
    </w:p>
    <w:p w14:paraId="1BE676FC" w14:textId="2BE05B93" w:rsidR="000B1D35" w:rsidRPr="00D525A4" w:rsidRDefault="00EC097E" w:rsidP="00110F88">
      <w:pPr>
        <w:pStyle w:val="ActHead5"/>
      </w:pPr>
      <w:bookmarkStart w:id="186" w:name="_Toc198225069"/>
      <w:r w:rsidRPr="00D525A4">
        <w:rPr>
          <w:rStyle w:val="CharSectno"/>
        </w:rPr>
        <w:t>10</w:t>
      </w:r>
      <w:r w:rsidR="00D525A4">
        <w:rPr>
          <w:rStyle w:val="CharSectno"/>
        </w:rPr>
        <w:noBreakHyphen/>
      </w:r>
      <w:r w:rsidRPr="00D525A4">
        <w:rPr>
          <w:rStyle w:val="CharSectno"/>
        </w:rPr>
        <w:t>1</w:t>
      </w:r>
      <w:r w:rsidR="000B1D35" w:rsidRPr="00D525A4">
        <w:t xml:space="preserve">  False or misleading information</w:t>
      </w:r>
      <w:bookmarkEnd w:id="186"/>
    </w:p>
    <w:p w14:paraId="4452EFDB" w14:textId="65DA9D2D" w:rsidR="000B1D35" w:rsidRPr="00D525A4" w:rsidRDefault="000B1D35" w:rsidP="000B1D35">
      <w:pPr>
        <w:pStyle w:val="subsection"/>
      </w:pPr>
      <w:r w:rsidRPr="00D525A4">
        <w:tab/>
      </w:r>
      <w:r w:rsidRPr="00D525A4">
        <w:tab/>
        <w:t xml:space="preserve">For the purposes of </w:t>
      </w:r>
      <w:r w:rsidR="0010391B" w:rsidRPr="00D525A4">
        <w:t>subparagraphs 1</w:t>
      </w:r>
      <w:r w:rsidRPr="00D525A4">
        <w:t xml:space="preserve">36(1)(c)(ii) and 137(1)(c)(ii) of the Act, </w:t>
      </w:r>
      <w:r w:rsidR="0010391B" w:rsidRPr="00D525A4">
        <w:t>sections 1</w:t>
      </w:r>
      <w:r w:rsidRPr="00D525A4">
        <w:t xml:space="preserve">36 and 137 of the Act </w:t>
      </w:r>
      <w:r w:rsidR="003B41B2" w:rsidRPr="00D525A4">
        <w:t xml:space="preserve">(which deal with giving or producing false or misleading information or documents) </w:t>
      </w:r>
      <w:r w:rsidRPr="00D525A4">
        <w:t xml:space="preserve">apply in relation to </w:t>
      </w:r>
      <w:r w:rsidR="003B41B2" w:rsidRPr="00D525A4">
        <w:t>a</w:t>
      </w:r>
      <w:r w:rsidRPr="00D525A4">
        <w:t xml:space="preserve"> provision of this instrument in</w:t>
      </w:r>
      <w:r w:rsidR="003B41B2" w:rsidRPr="00D525A4">
        <w:t xml:space="preserve"> </w:t>
      </w:r>
      <w:r w:rsidRPr="00D525A4">
        <w:t>the following:</w:t>
      </w:r>
    </w:p>
    <w:p w14:paraId="1C50F021" w14:textId="5454BED1" w:rsidR="000B1D35" w:rsidRPr="00D525A4" w:rsidRDefault="000B1D35" w:rsidP="000B1D35">
      <w:pPr>
        <w:pStyle w:val="paragraph"/>
      </w:pPr>
      <w:r w:rsidRPr="00D525A4">
        <w:tab/>
        <w:t>(a)</w:t>
      </w:r>
      <w:r w:rsidRPr="00D525A4">
        <w:tab/>
      </w:r>
      <w:r w:rsidR="0010391B" w:rsidRPr="00D525A4">
        <w:t>Part 2</w:t>
      </w:r>
      <w:r w:rsidRPr="00D525A4">
        <w:t xml:space="preserve"> (enrolment);</w:t>
      </w:r>
    </w:p>
    <w:p w14:paraId="208E7109" w14:textId="56892552" w:rsidR="000B1D35" w:rsidRPr="00D525A4" w:rsidRDefault="000B1D35" w:rsidP="000B1D35">
      <w:pPr>
        <w:pStyle w:val="paragraph"/>
      </w:pPr>
      <w:r w:rsidRPr="00D525A4">
        <w:tab/>
        <w:t>(b)</w:t>
      </w:r>
      <w:r w:rsidRPr="00D525A4">
        <w:tab/>
      </w:r>
      <w:r w:rsidR="0010391B" w:rsidRPr="00D525A4">
        <w:t>Part 3</w:t>
      </w:r>
      <w:r w:rsidRPr="00D525A4">
        <w:t xml:space="preserve"> (registration);</w:t>
      </w:r>
    </w:p>
    <w:p w14:paraId="16825878" w14:textId="1E1EFB05" w:rsidR="000B1D35" w:rsidRPr="00D525A4" w:rsidRDefault="000B1D35" w:rsidP="000B1D35">
      <w:pPr>
        <w:pStyle w:val="paragraph"/>
      </w:pPr>
      <w:r w:rsidRPr="00D525A4">
        <w:tab/>
        <w:t>(c)</w:t>
      </w:r>
      <w:r w:rsidRPr="00D525A4">
        <w:tab/>
      </w:r>
      <w:r w:rsidR="0010391B" w:rsidRPr="00D525A4">
        <w:t>Part 5</w:t>
      </w:r>
      <w:r w:rsidR="003B41B2" w:rsidRPr="00D525A4">
        <w:t xml:space="preserve"> (customer due diligence);</w:t>
      </w:r>
    </w:p>
    <w:p w14:paraId="0A771EC0" w14:textId="2B0EFEB4" w:rsidR="003B41B2" w:rsidRPr="00D525A4" w:rsidRDefault="003B41B2" w:rsidP="000B1D35">
      <w:pPr>
        <w:pStyle w:val="paragraph"/>
      </w:pPr>
      <w:r w:rsidRPr="00D525A4">
        <w:tab/>
        <w:t>(d)</w:t>
      </w:r>
      <w:r w:rsidRPr="00D525A4">
        <w:tab/>
      </w:r>
      <w:r w:rsidR="0010391B" w:rsidRPr="00D525A4">
        <w:t>Part 7</w:t>
      </w:r>
      <w:r w:rsidRPr="00D525A4">
        <w:t xml:space="preserve"> (transfers of value);</w:t>
      </w:r>
    </w:p>
    <w:p w14:paraId="72071BF1" w14:textId="43FD190A" w:rsidR="003B41B2" w:rsidRPr="00D525A4" w:rsidRDefault="003B41B2" w:rsidP="000B1D35">
      <w:pPr>
        <w:pStyle w:val="paragraph"/>
      </w:pPr>
      <w:r w:rsidRPr="00D525A4">
        <w:tab/>
        <w:t>(e)</w:t>
      </w:r>
      <w:r w:rsidRPr="00D525A4">
        <w:tab/>
      </w:r>
      <w:r w:rsidR="0010391B" w:rsidRPr="00D525A4">
        <w:t>Part 8</w:t>
      </w:r>
      <w:r w:rsidRPr="00D525A4">
        <w:t xml:space="preserve"> (reporting).</w:t>
      </w:r>
    </w:p>
    <w:p w14:paraId="7BDDCF4B" w14:textId="4490F86D" w:rsidR="00110F88" w:rsidRPr="00D525A4" w:rsidRDefault="00EC097E" w:rsidP="00110F88">
      <w:pPr>
        <w:pStyle w:val="ActHead5"/>
      </w:pPr>
      <w:bookmarkStart w:id="187" w:name="_Toc198225070"/>
      <w:r w:rsidRPr="00D525A4">
        <w:rPr>
          <w:rStyle w:val="CharSectno"/>
        </w:rPr>
        <w:t>10</w:t>
      </w:r>
      <w:r w:rsidR="00D525A4">
        <w:rPr>
          <w:rStyle w:val="CharSectno"/>
        </w:rPr>
        <w:noBreakHyphen/>
      </w:r>
      <w:r w:rsidRPr="00D525A4">
        <w:rPr>
          <w:rStyle w:val="CharSectno"/>
        </w:rPr>
        <w:t>2</w:t>
      </w:r>
      <w:r w:rsidR="00110F88" w:rsidRPr="00D525A4">
        <w:t xml:space="preserve">  Conditions for discharge of obligations by members of a reporting group</w:t>
      </w:r>
      <w:bookmarkEnd w:id="187"/>
    </w:p>
    <w:p w14:paraId="37D49FA5" w14:textId="645FE8FD" w:rsidR="00110F88" w:rsidRPr="00D525A4" w:rsidRDefault="00110F88" w:rsidP="00464B44">
      <w:pPr>
        <w:pStyle w:val="subsection"/>
      </w:pPr>
      <w:r w:rsidRPr="00D525A4">
        <w:tab/>
      </w:r>
      <w:r w:rsidRPr="00D525A4">
        <w:tab/>
        <w:t xml:space="preserve">For the purposes of </w:t>
      </w:r>
      <w:r w:rsidR="009F59ED" w:rsidRPr="00D525A4">
        <w:t>paragraph 2</w:t>
      </w:r>
      <w:r w:rsidRPr="00D525A4">
        <w:t>36B(5)(c) of the Act, it is a condition for discharging an obligation imposed on a reporting entity that is a member of a reporting group that</w:t>
      </w:r>
      <w:r w:rsidR="00464B44" w:rsidRPr="00D525A4">
        <w:t xml:space="preserve"> t</w:t>
      </w:r>
      <w:r w:rsidRPr="00D525A4">
        <w:t>he reporting group has a lead entity</w:t>
      </w:r>
      <w:r w:rsidR="00464B44" w:rsidRPr="00D525A4">
        <w:t>.</w:t>
      </w:r>
    </w:p>
    <w:p w14:paraId="62CB3458" w14:textId="71ABCC6A" w:rsidR="00596AB4" w:rsidRPr="00D525A4" w:rsidRDefault="00EC097E" w:rsidP="00596AB4">
      <w:pPr>
        <w:pStyle w:val="ActHead5"/>
      </w:pPr>
      <w:bookmarkStart w:id="188" w:name="_Toc198225071"/>
      <w:r w:rsidRPr="00D525A4">
        <w:rPr>
          <w:rStyle w:val="CharSectno"/>
        </w:rPr>
        <w:t>10</w:t>
      </w:r>
      <w:r w:rsidR="00D525A4">
        <w:rPr>
          <w:rStyle w:val="CharSectno"/>
        </w:rPr>
        <w:noBreakHyphen/>
      </w:r>
      <w:r w:rsidRPr="00D525A4">
        <w:rPr>
          <w:rStyle w:val="CharSectno"/>
        </w:rPr>
        <w:t>3</w:t>
      </w:r>
      <w:r w:rsidR="00596AB4" w:rsidRPr="00D525A4">
        <w:t xml:space="preserve">  Discharge of obligations by members of a reporting group</w:t>
      </w:r>
      <w:r w:rsidR="00464B44" w:rsidRPr="00D525A4">
        <w:t xml:space="preserve"> that are not reporting entities</w:t>
      </w:r>
      <w:bookmarkEnd w:id="188"/>
    </w:p>
    <w:p w14:paraId="28A3F441" w14:textId="3ED06C01" w:rsidR="00596AB4" w:rsidRPr="00D525A4" w:rsidRDefault="00596AB4" w:rsidP="00596AB4">
      <w:pPr>
        <w:pStyle w:val="subsection"/>
      </w:pPr>
      <w:r w:rsidRPr="00D525A4">
        <w:tab/>
        <w:t>(1)</w:t>
      </w:r>
      <w:r w:rsidRPr="00D525A4">
        <w:tab/>
        <w:t xml:space="preserve">For the purposes of </w:t>
      </w:r>
      <w:r w:rsidR="009F59ED" w:rsidRPr="00D525A4">
        <w:t>paragraph 2</w:t>
      </w:r>
      <w:r w:rsidRPr="00D525A4">
        <w:t xml:space="preserve">36B(5)(c) of the Act, this section specifies conditions that apply when the member of the reporting group (the </w:t>
      </w:r>
      <w:r w:rsidRPr="00D525A4">
        <w:rPr>
          <w:b/>
          <w:i/>
        </w:rPr>
        <w:t>discharging member</w:t>
      </w:r>
      <w:r w:rsidRPr="00D525A4">
        <w:t>) that is to discharge an obligation of a reporting is not itself a reporting entity.</w:t>
      </w:r>
    </w:p>
    <w:p w14:paraId="2591B896" w14:textId="20C438DC" w:rsidR="007A3D9B" w:rsidRPr="00D525A4" w:rsidRDefault="007A3D9B" w:rsidP="007A3D9B">
      <w:pPr>
        <w:pStyle w:val="subsection"/>
      </w:pPr>
      <w:bookmarkStart w:id="189" w:name="_Hlk196752353"/>
      <w:r w:rsidRPr="00D525A4">
        <w:tab/>
        <w:t>(2)</w:t>
      </w:r>
      <w:r w:rsidRPr="00D525A4">
        <w:tab/>
        <w:t xml:space="preserve">The discharging member must have undertaken due diligence, in relation to persons who are employed or otherwise engaged and who perform functions relevant to discharging the obligation, </w:t>
      </w:r>
      <w:r w:rsidR="00533EF2" w:rsidRPr="00D525A4">
        <w:t xml:space="preserve">that satisfies </w:t>
      </w:r>
      <w:r w:rsidR="00842C80" w:rsidRPr="00D525A4">
        <w:t xml:space="preserve">the </w:t>
      </w:r>
      <w:r w:rsidR="00533EF2" w:rsidRPr="00D525A4">
        <w:t>requirements of</w:t>
      </w:r>
      <w:r w:rsidRPr="00D525A4">
        <w:t xml:space="preserve"> the AML/CTF policies of the reporting entity </w:t>
      </w:r>
      <w:r w:rsidR="00465BD3" w:rsidRPr="00D525A4">
        <w:t>included</w:t>
      </w:r>
      <w:r w:rsidR="00533EF2" w:rsidRPr="00D525A4">
        <w:t xml:space="preserve"> </w:t>
      </w:r>
      <w:r w:rsidRPr="00D525A4">
        <w:t xml:space="preserve">for the purposes of </w:t>
      </w:r>
      <w:r w:rsidR="009F59ED" w:rsidRPr="00D525A4">
        <w:t>paragraph 2</w:t>
      </w:r>
      <w:r w:rsidRPr="00D525A4">
        <w:t>6F(4)(d) of the Act.</w:t>
      </w:r>
    </w:p>
    <w:p w14:paraId="62630DE9" w14:textId="247F8F12" w:rsidR="007A3D9B" w:rsidRPr="00D525A4" w:rsidRDefault="007A3D9B" w:rsidP="007A3D9B">
      <w:pPr>
        <w:pStyle w:val="subsection"/>
      </w:pPr>
      <w:r w:rsidRPr="00D525A4">
        <w:tab/>
        <w:t>(3)</w:t>
      </w:r>
      <w:r w:rsidRPr="00D525A4">
        <w:tab/>
        <w:t xml:space="preserve">The discharging member must have provided training to those persons </w:t>
      </w:r>
      <w:r w:rsidR="00533EF2" w:rsidRPr="00D525A4">
        <w:t xml:space="preserve">that </w:t>
      </w:r>
      <w:r w:rsidR="00465BD3" w:rsidRPr="00D525A4">
        <w:t>satisfies</w:t>
      </w:r>
      <w:r w:rsidR="00533EF2" w:rsidRPr="00D525A4">
        <w:t xml:space="preserve"> th</w:t>
      </w:r>
      <w:r w:rsidR="00465BD3" w:rsidRPr="00D525A4">
        <w:t>e requirements of</w:t>
      </w:r>
      <w:r w:rsidRPr="00D525A4">
        <w:t xml:space="preserve"> the AML/CTF policies of the reporting entity</w:t>
      </w:r>
      <w:r w:rsidR="00465BD3" w:rsidRPr="00D525A4">
        <w:t xml:space="preserve"> included</w:t>
      </w:r>
      <w:r w:rsidRPr="00D525A4">
        <w:t xml:space="preserve"> for the purposes of </w:t>
      </w:r>
      <w:r w:rsidR="009F59ED" w:rsidRPr="00D525A4">
        <w:t>paragraph 2</w:t>
      </w:r>
      <w:r w:rsidRPr="00D525A4">
        <w:t>6F(4)(e) of the Act.</w:t>
      </w:r>
    </w:p>
    <w:p w14:paraId="046A8A16" w14:textId="7E1A3BFE" w:rsidR="00D86399" w:rsidRPr="00D525A4" w:rsidRDefault="0013261E" w:rsidP="00D86399">
      <w:pPr>
        <w:pStyle w:val="ActHead2"/>
        <w:pageBreakBefore/>
      </w:pPr>
      <w:bookmarkStart w:id="190" w:name="_Toc198225072"/>
      <w:bookmarkEnd w:id="189"/>
      <w:r w:rsidRPr="00D525A4">
        <w:rPr>
          <w:rStyle w:val="CharPartNo"/>
        </w:rPr>
        <w:lastRenderedPageBreak/>
        <w:t>Part 1</w:t>
      </w:r>
      <w:r w:rsidR="00B32C14" w:rsidRPr="00D525A4">
        <w:rPr>
          <w:rStyle w:val="CharPartNo"/>
        </w:rPr>
        <w:t>1</w:t>
      </w:r>
      <w:r w:rsidR="00D86399" w:rsidRPr="00D525A4">
        <w:t>—</w:t>
      </w:r>
      <w:r w:rsidR="00D86399" w:rsidRPr="00D525A4">
        <w:rPr>
          <w:rStyle w:val="CharPartText"/>
        </w:rPr>
        <w:t>Application, saving and transitional provisions</w:t>
      </w:r>
      <w:r w:rsidR="00C7261F" w:rsidRPr="00D525A4">
        <w:rPr>
          <w:rStyle w:val="CharPartText"/>
        </w:rPr>
        <w:t xml:space="preserve"> [to be drafted]</w:t>
      </w:r>
      <w:bookmarkEnd w:id="190"/>
    </w:p>
    <w:p w14:paraId="0640176E" w14:textId="77777777" w:rsidR="00451B3D" w:rsidRPr="00D525A4" w:rsidRDefault="00451B3D" w:rsidP="00451B3D">
      <w:pPr>
        <w:pStyle w:val="Header"/>
      </w:pPr>
      <w:r w:rsidRPr="00D525A4">
        <w:rPr>
          <w:rStyle w:val="CharDivNo"/>
        </w:rPr>
        <w:t xml:space="preserve"> </w:t>
      </w:r>
      <w:r w:rsidRPr="00D525A4">
        <w:rPr>
          <w:rStyle w:val="CharDivText"/>
        </w:rPr>
        <w:t xml:space="preserve"> </w:t>
      </w:r>
    </w:p>
    <w:p w14:paraId="2E90FEBF" w14:textId="77777777" w:rsidR="0086528C" w:rsidRPr="00D525A4" w:rsidRDefault="0086528C" w:rsidP="0086528C">
      <w:pPr>
        <w:sectPr w:rsidR="0086528C" w:rsidRPr="00D525A4" w:rsidSect="0086528C">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14:paraId="0B89A7C7" w14:textId="77777777" w:rsidR="00FF7F38" w:rsidRPr="00D525A4" w:rsidRDefault="00606BBD" w:rsidP="00FF7F38">
      <w:pPr>
        <w:pStyle w:val="ActHead1"/>
      </w:pPr>
      <w:bookmarkStart w:id="191" w:name="_Toc198225073"/>
      <w:r w:rsidRPr="00D525A4">
        <w:rPr>
          <w:rStyle w:val="CharChapNo"/>
        </w:rPr>
        <w:lastRenderedPageBreak/>
        <w:t>Schedule 1</w:t>
      </w:r>
      <w:r w:rsidR="0086528C" w:rsidRPr="00D525A4">
        <w:t>—</w:t>
      </w:r>
      <w:r w:rsidR="00FF7F38" w:rsidRPr="00D525A4">
        <w:rPr>
          <w:rStyle w:val="CharChapText"/>
        </w:rPr>
        <w:t>Forms</w:t>
      </w:r>
      <w:bookmarkEnd w:id="191"/>
    </w:p>
    <w:p w14:paraId="3AF62E39" w14:textId="77777777" w:rsidR="00FF7F38" w:rsidRPr="00D525A4" w:rsidRDefault="00FF7F38" w:rsidP="00FF7F38">
      <w:pPr>
        <w:pStyle w:val="Header"/>
      </w:pPr>
      <w:r w:rsidRPr="00D525A4">
        <w:rPr>
          <w:rStyle w:val="CharPartNo"/>
        </w:rPr>
        <w:t xml:space="preserve"> </w:t>
      </w:r>
      <w:r w:rsidRPr="00D525A4">
        <w:rPr>
          <w:rStyle w:val="CharPartText"/>
        </w:rPr>
        <w:t xml:space="preserve"> </w:t>
      </w:r>
    </w:p>
    <w:p w14:paraId="11580BA3" w14:textId="2727D0AD" w:rsidR="00FF7F38" w:rsidRPr="00D525A4" w:rsidRDefault="00FF7F38" w:rsidP="00FF7F38">
      <w:pPr>
        <w:pStyle w:val="notemargin"/>
      </w:pPr>
      <w:r w:rsidRPr="00D525A4">
        <w:t>Note:</w:t>
      </w:r>
      <w:r w:rsidRPr="00D525A4">
        <w:tab/>
        <w:t xml:space="preserve">See sections </w:t>
      </w:r>
      <w:r w:rsidR="00EC097E" w:rsidRPr="00D525A4">
        <w:t>5</w:t>
      </w:r>
      <w:r w:rsidR="00D525A4">
        <w:noBreakHyphen/>
      </w:r>
      <w:r w:rsidR="00EC097E" w:rsidRPr="00D525A4">
        <w:t>29</w:t>
      </w:r>
      <w:r w:rsidRPr="00D525A4">
        <w:t xml:space="preserve"> to </w:t>
      </w:r>
      <w:r w:rsidR="00EC097E" w:rsidRPr="00D525A4">
        <w:t>5</w:t>
      </w:r>
      <w:r w:rsidR="00D525A4">
        <w:noBreakHyphen/>
      </w:r>
      <w:r w:rsidR="00EC097E" w:rsidRPr="00D525A4">
        <w:t>32</w:t>
      </w:r>
      <w:r w:rsidRPr="00D525A4">
        <w:t>.</w:t>
      </w:r>
    </w:p>
    <w:p w14:paraId="79C33844" w14:textId="77777777" w:rsidR="00FF7F38" w:rsidRPr="00D525A4" w:rsidRDefault="00FF7F38" w:rsidP="000B6F44">
      <w:pPr>
        <w:pStyle w:val="ActHead3"/>
        <w:ind w:left="0" w:firstLine="0"/>
      </w:pPr>
      <w:bookmarkStart w:id="192" w:name="_Toc198225074"/>
      <w:r w:rsidRPr="00D525A4">
        <w:rPr>
          <w:rStyle w:val="CharDivNo"/>
        </w:rPr>
        <w:t>Form 1</w:t>
      </w:r>
      <w:r w:rsidRPr="00D525A4">
        <w:t>—</w:t>
      </w:r>
      <w:r w:rsidRPr="00D525A4">
        <w:rPr>
          <w:rStyle w:val="CharDivText"/>
        </w:rPr>
        <w:t>Keep open notice</w:t>
      </w:r>
      <w:bookmarkEnd w:id="192"/>
    </w:p>
    <w:p w14:paraId="7236B902" w14:textId="77777777" w:rsidR="00CF5E40" w:rsidRPr="00D525A4" w:rsidRDefault="00CF5E40" w:rsidP="00FB6588">
      <w:pPr>
        <w:pStyle w:val="FreeForm"/>
      </w:pPr>
    </w:p>
    <w:p w14:paraId="5152708E" w14:textId="1ADB82D4" w:rsidR="00FF7F38" w:rsidRPr="00D525A4" w:rsidRDefault="00FF7F38" w:rsidP="00FB6588">
      <w:pPr>
        <w:pStyle w:val="FreeForm"/>
        <w:rPr>
          <w:rFonts w:ascii="Times New Roman" w:hAnsi="Times New Roman" w:cs="Times New Roman"/>
          <w:b/>
          <w:bCs/>
          <w:sz w:val="24"/>
          <w:szCs w:val="24"/>
        </w:rPr>
      </w:pPr>
      <w:r w:rsidRPr="00D525A4">
        <w:rPr>
          <w:rFonts w:ascii="Times New Roman" w:hAnsi="Times New Roman" w:cs="Times New Roman"/>
          <w:b/>
          <w:bCs/>
          <w:sz w:val="24"/>
          <w:szCs w:val="24"/>
        </w:rPr>
        <w:t>KEEP OPEN NOTICE</w:t>
      </w:r>
    </w:p>
    <w:p w14:paraId="62B4C822" w14:textId="2CE9467F" w:rsidR="00FF7F38" w:rsidRPr="00D525A4" w:rsidRDefault="00606BBD" w:rsidP="00FF7F38">
      <w:pPr>
        <w:pStyle w:val="notemargin"/>
        <w:rPr>
          <w:i/>
        </w:rPr>
      </w:pPr>
      <w:r w:rsidRPr="00D525A4">
        <w:t>Sub</w:t>
      </w:r>
      <w:r w:rsidR="0013261E" w:rsidRPr="00D525A4">
        <w:t>section 3</w:t>
      </w:r>
      <w:r w:rsidR="00FF7F38" w:rsidRPr="00D525A4">
        <w:t xml:space="preserve">9B(1) of the </w:t>
      </w:r>
      <w:r w:rsidR="00FF7F38" w:rsidRPr="00D525A4">
        <w:rPr>
          <w:i/>
        </w:rPr>
        <w:t>Anti</w:t>
      </w:r>
      <w:r w:rsidR="00D525A4">
        <w:rPr>
          <w:i/>
        </w:rPr>
        <w:noBreakHyphen/>
      </w:r>
      <w:r w:rsidR="00FF7F38" w:rsidRPr="00D525A4">
        <w:rPr>
          <w:i/>
        </w:rPr>
        <w:t>Money Laundering and Counter</w:t>
      </w:r>
      <w:r w:rsidR="00D525A4">
        <w:rPr>
          <w:i/>
        </w:rPr>
        <w:noBreakHyphen/>
      </w:r>
      <w:r w:rsidR="00FF7F38" w:rsidRPr="00D525A4">
        <w:rPr>
          <w:i/>
        </w:rPr>
        <w:t>Terrorism Financing Act 2006</w:t>
      </w:r>
    </w:p>
    <w:p w14:paraId="3FE666AF" w14:textId="77777777" w:rsidR="00CF5E40" w:rsidRPr="00D525A4" w:rsidRDefault="00CF5E40" w:rsidP="00CF5E40">
      <w:pPr>
        <w:pStyle w:val="FreeForm"/>
      </w:pPr>
    </w:p>
    <w:p w14:paraId="4C6EA44E" w14:textId="7543AA3A" w:rsidR="00FF7F38" w:rsidRPr="00D525A4" w:rsidRDefault="00FF7F38" w:rsidP="00CF5E40">
      <w:pPr>
        <w:pStyle w:val="FreeForm"/>
        <w:rPr>
          <w:rFonts w:ascii="Times New Roman" w:hAnsi="Times New Roman" w:cs="Times New Roman"/>
          <w:b/>
          <w:bCs/>
          <w:sz w:val="24"/>
          <w:szCs w:val="24"/>
        </w:rPr>
      </w:pPr>
      <w:r w:rsidRPr="00D525A4">
        <w:rPr>
          <w:rFonts w:ascii="Times New Roman" w:hAnsi="Times New Roman" w:cs="Times New Roman"/>
          <w:b/>
          <w:bCs/>
          <w:sz w:val="24"/>
          <w:szCs w:val="24"/>
        </w:rPr>
        <w:t>Explanation of this notice</w:t>
      </w:r>
    </w:p>
    <w:p w14:paraId="4BA22A03" w14:textId="77777777" w:rsidR="00FF7F38" w:rsidRPr="00D525A4" w:rsidRDefault="00FF7F38" w:rsidP="00FF7F38">
      <w:pPr>
        <w:pStyle w:val="Tabletext"/>
      </w:pPr>
    </w:p>
    <w:tbl>
      <w:tblPr>
        <w:tblW w:w="0" w:type="auto"/>
        <w:tblInd w:w="113" w:type="dxa"/>
        <w:tblLayout w:type="fixed"/>
        <w:tblLook w:val="0000" w:firstRow="0" w:lastRow="0" w:firstColumn="0" w:lastColumn="0" w:noHBand="0" w:noVBand="0"/>
      </w:tblPr>
      <w:tblGrid>
        <w:gridCol w:w="714"/>
        <w:gridCol w:w="7599"/>
      </w:tblGrid>
      <w:tr w:rsidR="00FF7F38" w:rsidRPr="00D525A4" w14:paraId="7C1B7A83" w14:textId="77777777" w:rsidTr="00B11DA4">
        <w:tc>
          <w:tcPr>
            <w:tcW w:w="714" w:type="dxa"/>
            <w:shd w:val="clear" w:color="auto" w:fill="auto"/>
          </w:tcPr>
          <w:p w14:paraId="2732A196" w14:textId="77777777" w:rsidR="00FF7F38" w:rsidRPr="00D525A4" w:rsidRDefault="00FF7F38" w:rsidP="00B11DA4">
            <w:pPr>
              <w:pStyle w:val="Tabletext"/>
            </w:pPr>
            <w:r w:rsidRPr="00D525A4">
              <w:t>1</w:t>
            </w:r>
          </w:p>
        </w:tc>
        <w:tc>
          <w:tcPr>
            <w:tcW w:w="7599" w:type="dxa"/>
            <w:shd w:val="clear" w:color="auto" w:fill="auto"/>
          </w:tcPr>
          <w:p w14:paraId="5C6DD1EE" w14:textId="3ABDC7F6" w:rsidR="00FF7F38" w:rsidRPr="00D525A4" w:rsidRDefault="00FF7F38" w:rsidP="00B11DA4">
            <w:pPr>
              <w:pStyle w:val="Tabletext"/>
            </w:pPr>
            <w:r w:rsidRPr="00D525A4">
              <w:t xml:space="preserve">This keep open notice (Notice) is issued pursuant to </w:t>
            </w:r>
            <w:r w:rsidR="00606BBD" w:rsidRPr="00D525A4">
              <w:t>sub</w:t>
            </w:r>
            <w:r w:rsidR="0013261E" w:rsidRPr="00D525A4">
              <w:t>section 3</w:t>
            </w:r>
            <w:r w:rsidRPr="00D525A4">
              <w:t xml:space="preserve">9B(1) of the </w:t>
            </w:r>
            <w:r w:rsidRPr="00D525A4">
              <w:rPr>
                <w:i/>
              </w:rPr>
              <w:t>Anti</w:t>
            </w:r>
            <w:r w:rsidR="00D525A4">
              <w:rPr>
                <w:i/>
              </w:rPr>
              <w:noBreakHyphen/>
            </w:r>
            <w:r w:rsidRPr="00D525A4">
              <w:rPr>
                <w:i/>
              </w:rPr>
              <w:t>Money Laundering and Counter</w:t>
            </w:r>
            <w:r w:rsidR="00D525A4">
              <w:rPr>
                <w:i/>
              </w:rPr>
              <w:noBreakHyphen/>
            </w:r>
            <w:r w:rsidRPr="00D525A4">
              <w:rPr>
                <w:i/>
              </w:rPr>
              <w:t>Terrorism Financing Act 2006</w:t>
            </w:r>
            <w:r w:rsidRPr="00D525A4">
              <w:t xml:space="preserve"> (AML/CTF Act).</w:t>
            </w:r>
          </w:p>
        </w:tc>
      </w:tr>
      <w:tr w:rsidR="00FF7F38" w:rsidRPr="00D525A4" w14:paraId="475F02EA" w14:textId="77777777" w:rsidTr="00B11DA4">
        <w:tc>
          <w:tcPr>
            <w:tcW w:w="714" w:type="dxa"/>
            <w:shd w:val="clear" w:color="auto" w:fill="auto"/>
          </w:tcPr>
          <w:p w14:paraId="4537F8BD" w14:textId="77777777" w:rsidR="00FF7F38" w:rsidRPr="00D525A4" w:rsidRDefault="00FF7F38" w:rsidP="00B11DA4">
            <w:pPr>
              <w:pStyle w:val="Tabletext"/>
            </w:pPr>
            <w:r w:rsidRPr="00D525A4">
              <w:t>2</w:t>
            </w:r>
          </w:p>
        </w:tc>
        <w:tc>
          <w:tcPr>
            <w:tcW w:w="7599" w:type="dxa"/>
            <w:shd w:val="clear" w:color="auto" w:fill="auto"/>
          </w:tcPr>
          <w:p w14:paraId="0F4E3BF6" w14:textId="62348325" w:rsidR="00FF7F38" w:rsidRPr="00D525A4" w:rsidRDefault="00FF7F38" w:rsidP="00B11DA4">
            <w:pPr>
              <w:pStyle w:val="Tabletext"/>
            </w:pPr>
            <w:r w:rsidRPr="00D525A4">
              <w:t xml:space="preserve">A senior member of the kind listed in </w:t>
            </w:r>
            <w:r w:rsidR="00606BBD" w:rsidRPr="00D525A4">
              <w:t>sub</w:t>
            </w:r>
            <w:r w:rsidR="0013261E" w:rsidRPr="00D525A4">
              <w:t>section 3</w:t>
            </w:r>
            <w:r w:rsidRPr="00D525A4">
              <w:t>9B(3) of the AML/CTF Act reasonably believes that the provision of a designated service by the reporting entity to whom this Notice is issued to the customer(s) specified in this Notice would assist in the investigation by the agency of a serious offence.</w:t>
            </w:r>
          </w:p>
        </w:tc>
      </w:tr>
      <w:tr w:rsidR="00FF7F38" w:rsidRPr="00D525A4" w14:paraId="7929D321" w14:textId="77777777" w:rsidTr="00B11DA4">
        <w:tc>
          <w:tcPr>
            <w:tcW w:w="714" w:type="dxa"/>
            <w:shd w:val="clear" w:color="auto" w:fill="auto"/>
          </w:tcPr>
          <w:p w14:paraId="22FFADD7" w14:textId="77777777" w:rsidR="00FF7F38" w:rsidRPr="00D525A4" w:rsidRDefault="00FF7F38" w:rsidP="00B11DA4">
            <w:pPr>
              <w:pStyle w:val="Tabletext"/>
            </w:pPr>
            <w:r w:rsidRPr="00D525A4">
              <w:t>3</w:t>
            </w:r>
          </w:p>
        </w:tc>
        <w:tc>
          <w:tcPr>
            <w:tcW w:w="7599" w:type="dxa"/>
            <w:shd w:val="clear" w:color="auto" w:fill="auto"/>
          </w:tcPr>
          <w:p w14:paraId="45BCDAFC" w14:textId="64198028" w:rsidR="00FF7F38" w:rsidRPr="00D525A4" w:rsidRDefault="00FF7F38" w:rsidP="00B11DA4">
            <w:pPr>
              <w:pStyle w:val="Tabletext"/>
            </w:pPr>
            <w:r w:rsidRPr="00D525A4">
              <w:t xml:space="preserve">Pursuant to </w:t>
            </w:r>
            <w:r w:rsidR="00606BBD" w:rsidRPr="00D525A4">
              <w:t>sub</w:t>
            </w:r>
            <w:r w:rsidR="0013261E" w:rsidRPr="00D525A4">
              <w:t>section 3</w:t>
            </w:r>
            <w:r w:rsidRPr="00D525A4">
              <w:t xml:space="preserve">9A(2) of the AML/CTF Act, the reporting entity is exempt from </w:t>
            </w:r>
            <w:r w:rsidR="0010391B" w:rsidRPr="00D525A4">
              <w:t>section 2</w:t>
            </w:r>
            <w:r w:rsidRPr="00D525A4">
              <w:t>6G, 28 or 30 of the AML/CTF Act in respect of the provision of a designated service to a customer specified in this Notice to the extent that the reporting entity reasonably believes that compliance with that section would or could reasonably be expected to alert the customer to the existence of a criminal investigation.</w:t>
            </w:r>
          </w:p>
        </w:tc>
      </w:tr>
      <w:tr w:rsidR="00FF7F38" w:rsidRPr="00D525A4" w14:paraId="15844AAD" w14:textId="77777777" w:rsidTr="00B11DA4">
        <w:tc>
          <w:tcPr>
            <w:tcW w:w="714" w:type="dxa"/>
            <w:shd w:val="clear" w:color="auto" w:fill="auto"/>
          </w:tcPr>
          <w:p w14:paraId="5495942B" w14:textId="77777777" w:rsidR="00FF7F38" w:rsidRPr="00D525A4" w:rsidRDefault="00FF7F38" w:rsidP="00B11DA4">
            <w:pPr>
              <w:pStyle w:val="Tabletext"/>
            </w:pPr>
            <w:r w:rsidRPr="00D525A4">
              <w:t>4</w:t>
            </w:r>
          </w:p>
        </w:tc>
        <w:tc>
          <w:tcPr>
            <w:tcW w:w="7599" w:type="dxa"/>
            <w:shd w:val="clear" w:color="auto" w:fill="auto"/>
          </w:tcPr>
          <w:p w14:paraId="09622724" w14:textId="0A9C32E3" w:rsidR="00FF7F38" w:rsidRPr="00D525A4" w:rsidRDefault="00FF7F38" w:rsidP="00B11DA4">
            <w:pPr>
              <w:pStyle w:val="Tabletext"/>
            </w:pPr>
            <w:r w:rsidRPr="00D525A4">
              <w:t xml:space="preserve">If the exemption referred to in </w:t>
            </w:r>
            <w:r w:rsidR="0013261E" w:rsidRPr="00D525A4">
              <w:t>paragraph 3</w:t>
            </w:r>
            <w:r w:rsidRPr="00D525A4">
              <w:t xml:space="preserve"> applies in relation to the provision by the reporting entity of a designated service to the customer, </w:t>
            </w:r>
            <w:r w:rsidR="0013261E" w:rsidRPr="00D525A4">
              <w:t>section 1</w:t>
            </w:r>
            <w:r w:rsidRPr="00D525A4">
              <w:t>39 of the AML/CTF Act (providing a designated service using a false customer name or customer anonymity) does not apply in relation to the provision by the reporting entity of that designated service to the customer.</w:t>
            </w:r>
          </w:p>
        </w:tc>
      </w:tr>
      <w:tr w:rsidR="00FF7F38" w:rsidRPr="00D525A4" w14:paraId="40E47B73" w14:textId="77777777" w:rsidTr="00B11DA4">
        <w:tc>
          <w:tcPr>
            <w:tcW w:w="714" w:type="dxa"/>
            <w:shd w:val="clear" w:color="auto" w:fill="auto"/>
          </w:tcPr>
          <w:p w14:paraId="0F3183FA" w14:textId="77777777" w:rsidR="00FF7F38" w:rsidRPr="00D525A4" w:rsidRDefault="00FF7F38" w:rsidP="00B11DA4">
            <w:pPr>
              <w:pStyle w:val="Tabletext"/>
            </w:pPr>
            <w:r w:rsidRPr="00D525A4">
              <w:t>5</w:t>
            </w:r>
          </w:p>
        </w:tc>
        <w:tc>
          <w:tcPr>
            <w:tcW w:w="7599" w:type="dxa"/>
            <w:shd w:val="clear" w:color="auto" w:fill="auto"/>
          </w:tcPr>
          <w:p w14:paraId="79A0B8FA" w14:textId="77777777" w:rsidR="00FF7F38" w:rsidRPr="00D525A4" w:rsidRDefault="00FF7F38" w:rsidP="00B11DA4">
            <w:pPr>
              <w:pStyle w:val="Tabletext"/>
            </w:pPr>
            <w:r w:rsidRPr="00D525A4">
              <w:t>This Notice remains in force for the period starting on the commencement date specified in this Notice (Commencement Date) and ending on the earlier of the following:</w:t>
            </w:r>
          </w:p>
          <w:p w14:paraId="25E540A3" w14:textId="1F572952" w:rsidR="00FF7F38" w:rsidRPr="00D525A4" w:rsidRDefault="00FF7F38" w:rsidP="00B11DA4">
            <w:pPr>
              <w:pStyle w:val="Tablea"/>
            </w:pPr>
            <w:r w:rsidRPr="00D525A4">
              <w:t xml:space="preserve">(a) the day that is </w:t>
            </w:r>
            <w:r w:rsidR="000B6F44" w:rsidRPr="00D525A4">
              <w:t>6</w:t>
            </w:r>
            <w:r w:rsidRPr="00D525A4">
              <w:t xml:space="preserve"> months after the Commencement Date</w:t>
            </w:r>
            <w:r w:rsidR="002F4595" w:rsidRPr="00D525A4">
              <w:t>;</w:t>
            </w:r>
          </w:p>
          <w:p w14:paraId="66ED83C1" w14:textId="77777777" w:rsidR="00FF7F38" w:rsidRPr="00D525A4" w:rsidRDefault="00FF7F38" w:rsidP="00B11DA4">
            <w:pPr>
              <w:pStyle w:val="Tablea"/>
            </w:pPr>
            <w:r w:rsidRPr="00D525A4">
              <w:t>(b) the day that the agency that issued the Notice notifies the reporting entity and the AUSTRAC CEO that the relevant investigation has ended.</w:t>
            </w:r>
          </w:p>
        </w:tc>
      </w:tr>
      <w:tr w:rsidR="00FF7F38" w:rsidRPr="00D525A4" w14:paraId="4EB12EE4" w14:textId="77777777" w:rsidTr="00B11DA4">
        <w:tc>
          <w:tcPr>
            <w:tcW w:w="714" w:type="dxa"/>
            <w:shd w:val="clear" w:color="auto" w:fill="auto"/>
          </w:tcPr>
          <w:p w14:paraId="1860B9AE" w14:textId="77777777" w:rsidR="00FF7F38" w:rsidRPr="00D525A4" w:rsidRDefault="00FF7F38" w:rsidP="00B11DA4">
            <w:pPr>
              <w:pStyle w:val="Tabletext"/>
            </w:pPr>
            <w:r w:rsidRPr="00D525A4">
              <w:t>6</w:t>
            </w:r>
          </w:p>
        </w:tc>
        <w:tc>
          <w:tcPr>
            <w:tcW w:w="7599" w:type="dxa"/>
            <w:shd w:val="clear" w:color="auto" w:fill="auto"/>
          </w:tcPr>
          <w:p w14:paraId="51C005F3" w14:textId="77777777" w:rsidR="00FF7F38" w:rsidRPr="00D525A4" w:rsidRDefault="00FF7F38" w:rsidP="00B11DA4">
            <w:pPr>
              <w:pStyle w:val="Tabletext"/>
            </w:pPr>
            <w:r w:rsidRPr="00D525A4">
              <w:t>The AUSTRAC CEO has been sent a copy of this Notice.</w:t>
            </w:r>
          </w:p>
        </w:tc>
      </w:tr>
      <w:tr w:rsidR="00FF7F38" w:rsidRPr="00D525A4" w14:paraId="7667DB02" w14:textId="77777777" w:rsidTr="00B11DA4">
        <w:tc>
          <w:tcPr>
            <w:tcW w:w="714" w:type="dxa"/>
            <w:shd w:val="clear" w:color="auto" w:fill="auto"/>
          </w:tcPr>
          <w:p w14:paraId="7E60C514" w14:textId="77777777" w:rsidR="00FF7F38" w:rsidRPr="00D525A4" w:rsidRDefault="00FF7F38" w:rsidP="00B11DA4">
            <w:pPr>
              <w:pStyle w:val="Tabletext"/>
            </w:pPr>
            <w:r w:rsidRPr="00D525A4">
              <w:t>7</w:t>
            </w:r>
          </w:p>
        </w:tc>
        <w:tc>
          <w:tcPr>
            <w:tcW w:w="7599" w:type="dxa"/>
            <w:shd w:val="clear" w:color="auto" w:fill="auto"/>
          </w:tcPr>
          <w:p w14:paraId="617591D1" w14:textId="77777777" w:rsidR="00FF7F38" w:rsidRPr="00D525A4" w:rsidRDefault="00FF7F38" w:rsidP="00B11DA4">
            <w:pPr>
              <w:pStyle w:val="Tabletext"/>
            </w:pPr>
            <w:r w:rsidRPr="00D525A4">
              <w:t>This Notice does not compel a reporting entity to provide a designated service to the customer specified in this Notice.</w:t>
            </w:r>
          </w:p>
        </w:tc>
      </w:tr>
      <w:tr w:rsidR="00FF7F38" w:rsidRPr="00D525A4" w14:paraId="040AFD84" w14:textId="77777777" w:rsidTr="00B11DA4">
        <w:tc>
          <w:tcPr>
            <w:tcW w:w="714" w:type="dxa"/>
            <w:shd w:val="clear" w:color="auto" w:fill="auto"/>
          </w:tcPr>
          <w:p w14:paraId="0949E500" w14:textId="77777777" w:rsidR="00FF7F38" w:rsidRPr="00D525A4" w:rsidRDefault="00FF7F38" w:rsidP="00B11DA4">
            <w:pPr>
              <w:pStyle w:val="Tabletext"/>
            </w:pPr>
            <w:r w:rsidRPr="00D525A4">
              <w:t>8</w:t>
            </w:r>
          </w:p>
        </w:tc>
        <w:tc>
          <w:tcPr>
            <w:tcW w:w="7599" w:type="dxa"/>
            <w:shd w:val="clear" w:color="auto" w:fill="auto"/>
          </w:tcPr>
          <w:p w14:paraId="72E2DB7B" w14:textId="1F367B52" w:rsidR="00FF7F38" w:rsidRPr="00D525A4" w:rsidRDefault="00FF7F38" w:rsidP="00B11DA4">
            <w:pPr>
              <w:pStyle w:val="Tabletext"/>
            </w:pPr>
            <w:r w:rsidRPr="00D525A4">
              <w:t xml:space="preserve">A suspicious matter reporting obligation does not arise for a reporting entity in relation to a customer upon the receipt of this Notice. However, a suspicious matter reporting obligation may otherwise arise for the reporting entity in relation to the customer in accordance with </w:t>
            </w:r>
            <w:r w:rsidR="005C5E95" w:rsidRPr="00D525A4">
              <w:t>section 4</w:t>
            </w:r>
            <w:r w:rsidRPr="00D525A4">
              <w:t>1 of the AML/CTF Act.</w:t>
            </w:r>
          </w:p>
        </w:tc>
      </w:tr>
    </w:tbl>
    <w:p w14:paraId="34AC5FEF"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D525A4" w14:paraId="32E5CBCD" w14:textId="77777777" w:rsidTr="00B11DA4">
        <w:tc>
          <w:tcPr>
            <w:tcW w:w="8313" w:type="dxa"/>
            <w:shd w:val="clear" w:color="auto" w:fill="000000" w:themeFill="text1"/>
          </w:tcPr>
          <w:p w14:paraId="53E92964" w14:textId="77777777" w:rsidR="00FF7F38" w:rsidRPr="00D525A4" w:rsidRDefault="00FF7F38" w:rsidP="002F4595">
            <w:pPr>
              <w:pStyle w:val="TableHeading"/>
            </w:pPr>
            <w:r w:rsidRPr="00D525A4">
              <w:t>Full name of reporting entity to whom this Notice is issued</w:t>
            </w:r>
          </w:p>
        </w:tc>
      </w:tr>
      <w:tr w:rsidR="00FF7F38" w:rsidRPr="00D525A4" w14:paraId="73820874" w14:textId="77777777" w:rsidTr="00B11DA4">
        <w:tc>
          <w:tcPr>
            <w:tcW w:w="8313" w:type="dxa"/>
            <w:shd w:val="clear" w:color="auto" w:fill="auto"/>
          </w:tcPr>
          <w:p w14:paraId="34C85595" w14:textId="77777777" w:rsidR="00FF7F38" w:rsidRPr="00D525A4" w:rsidRDefault="00FF7F38" w:rsidP="00B11DA4">
            <w:pPr>
              <w:pStyle w:val="Tabletext"/>
            </w:pPr>
          </w:p>
          <w:p w14:paraId="0488145E" w14:textId="77777777" w:rsidR="00FF7F38" w:rsidRPr="00D525A4" w:rsidRDefault="00FF7F38" w:rsidP="00B11DA4">
            <w:pPr>
              <w:pStyle w:val="Tabletext"/>
            </w:pPr>
          </w:p>
        </w:tc>
      </w:tr>
    </w:tbl>
    <w:p w14:paraId="5E8B2DB8"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D525A4" w14:paraId="09ADC19C" w14:textId="77777777" w:rsidTr="00B11DA4">
        <w:tc>
          <w:tcPr>
            <w:tcW w:w="8313" w:type="dxa"/>
            <w:shd w:val="clear" w:color="auto" w:fill="000000" w:themeFill="text1"/>
          </w:tcPr>
          <w:p w14:paraId="1C65D51F" w14:textId="77777777" w:rsidR="00FF7F38" w:rsidRPr="00D525A4" w:rsidRDefault="00FF7F38" w:rsidP="002F4595">
            <w:pPr>
              <w:pStyle w:val="TableHeading"/>
            </w:pPr>
            <w:r w:rsidRPr="00D525A4">
              <w:t>Commencement date of this Notice</w:t>
            </w:r>
          </w:p>
        </w:tc>
      </w:tr>
      <w:tr w:rsidR="00FF7F38" w:rsidRPr="00D525A4" w14:paraId="0CC16996" w14:textId="77777777" w:rsidTr="00B11DA4">
        <w:tc>
          <w:tcPr>
            <w:tcW w:w="8313" w:type="dxa"/>
            <w:shd w:val="clear" w:color="auto" w:fill="auto"/>
          </w:tcPr>
          <w:p w14:paraId="314059CA" w14:textId="77777777" w:rsidR="00FF7F38" w:rsidRPr="00D525A4" w:rsidRDefault="00FF7F38" w:rsidP="00B11DA4">
            <w:pPr>
              <w:pStyle w:val="Tabletext"/>
            </w:pPr>
          </w:p>
        </w:tc>
      </w:tr>
    </w:tbl>
    <w:p w14:paraId="72FC52BE" w14:textId="77777777" w:rsidR="00FF7F38" w:rsidRPr="00D525A4" w:rsidRDefault="00FF7F38" w:rsidP="00FF7F38">
      <w:pPr>
        <w:pStyle w:val="Tabletext"/>
      </w:pPr>
    </w:p>
    <w:tbl>
      <w:tblPr>
        <w:tblW w:w="83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7"/>
        <w:gridCol w:w="2786"/>
        <w:gridCol w:w="2786"/>
      </w:tblGrid>
      <w:tr w:rsidR="00DC2B2A" w:rsidRPr="00D525A4" w14:paraId="5B678BFF" w14:textId="28DDEE2A" w:rsidTr="00DC2B2A">
        <w:tc>
          <w:tcPr>
            <w:tcW w:w="8032" w:type="dxa"/>
            <w:gridSpan w:val="3"/>
            <w:shd w:val="clear" w:color="auto" w:fill="000000" w:themeFill="text1"/>
          </w:tcPr>
          <w:p w14:paraId="650696E6" w14:textId="4358D7C1" w:rsidR="00DC2B2A" w:rsidRPr="00D525A4" w:rsidRDefault="00DC2B2A" w:rsidP="002F4595">
            <w:pPr>
              <w:pStyle w:val="TableHeading"/>
            </w:pPr>
            <w:r w:rsidRPr="00D525A4">
              <w:t>Details of the customer(s) to whom this Notice applies</w:t>
            </w:r>
          </w:p>
        </w:tc>
      </w:tr>
      <w:tr w:rsidR="00DC2B2A" w:rsidRPr="00D525A4" w14:paraId="248C6C15" w14:textId="48D7E6FF" w:rsidTr="00DC2B2A">
        <w:tc>
          <w:tcPr>
            <w:tcW w:w="8032" w:type="dxa"/>
            <w:shd w:val="clear" w:color="auto" w:fill="auto"/>
          </w:tcPr>
          <w:p w14:paraId="2E7289B5" w14:textId="77777777" w:rsidR="00DC2B2A" w:rsidRPr="00D525A4" w:rsidRDefault="00DC2B2A" w:rsidP="00B11DA4">
            <w:pPr>
              <w:pStyle w:val="Tabletext"/>
              <w:rPr>
                <w:b/>
              </w:rPr>
            </w:pPr>
            <w:r w:rsidRPr="00D525A4">
              <w:rPr>
                <w:b/>
              </w:rPr>
              <w:t>Full name of customer(s)</w:t>
            </w:r>
          </w:p>
        </w:tc>
        <w:tc>
          <w:tcPr>
            <w:tcW w:w="8032" w:type="dxa"/>
            <w:shd w:val="clear" w:color="auto" w:fill="auto"/>
          </w:tcPr>
          <w:p w14:paraId="7B19B6F2" w14:textId="410F8D83" w:rsidR="00DC2B2A" w:rsidRPr="00D525A4" w:rsidRDefault="00DC2B2A" w:rsidP="00B11DA4">
            <w:pPr>
              <w:pStyle w:val="Tabletext"/>
              <w:rPr>
                <w:b/>
              </w:rPr>
            </w:pPr>
            <w:r w:rsidRPr="00D525A4">
              <w:rPr>
                <w:b/>
              </w:rPr>
              <w:t>Date of birth or Australian Business Number/Australian Company Number (if known)</w:t>
            </w:r>
          </w:p>
        </w:tc>
        <w:tc>
          <w:tcPr>
            <w:tcW w:w="8032" w:type="dxa"/>
          </w:tcPr>
          <w:p w14:paraId="1DC59EA1" w14:textId="10413994" w:rsidR="00DC2B2A" w:rsidRPr="00D525A4" w:rsidRDefault="00DC2B2A" w:rsidP="00B11DA4">
            <w:pPr>
              <w:pStyle w:val="Tabletext"/>
              <w:rPr>
                <w:b/>
              </w:rPr>
            </w:pPr>
            <w:r w:rsidRPr="00D525A4">
              <w:rPr>
                <w:b/>
              </w:rPr>
              <w:t>Additional details of customer(s) to whom this Notice applies (if known)</w:t>
            </w:r>
          </w:p>
        </w:tc>
      </w:tr>
      <w:tr w:rsidR="00DC2B2A" w:rsidRPr="00D525A4" w14:paraId="36F24128" w14:textId="41633FBC" w:rsidTr="00DC2B2A">
        <w:tc>
          <w:tcPr>
            <w:tcW w:w="8032" w:type="dxa"/>
            <w:shd w:val="clear" w:color="auto" w:fill="auto"/>
          </w:tcPr>
          <w:p w14:paraId="3A1B395F" w14:textId="77777777" w:rsidR="00DC2B2A" w:rsidRPr="00D525A4" w:rsidRDefault="00DC2B2A" w:rsidP="00B11DA4">
            <w:pPr>
              <w:pStyle w:val="Tabletext"/>
            </w:pPr>
          </w:p>
        </w:tc>
        <w:tc>
          <w:tcPr>
            <w:tcW w:w="8032" w:type="dxa"/>
            <w:shd w:val="clear" w:color="auto" w:fill="auto"/>
          </w:tcPr>
          <w:p w14:paraId="4174BFE3" w14:textId="77777777" w:rsidR="00DC2B2A" w:rsidRPr="00D525A4" w:rsidRDefault="00DC2B2A" w:rsidP="00B11DA4">
            <w:pPr>
              <w:pStyle w:val="Tabletext"/>
            </w:pPr>
          </w:p>
        </w:tc>
        <w:tc>
          <w:tcPr>
            <w:tcW w:w="8032" w:type="dxa"/>
          </w:tcPr>
          <w:p w14:paraId="1790E072" w14:textId="77777777" w:rsidR="00DC2B2A" w:rsidRPr="00D525A4" w:rsidRDefault="00DC2B2A" w:rsidP="00B11DA4">
            <w:pPr>
              <w:pStyle w:val="Tabletext"/>
            </w:pPr>
          </w:p>
        </w:tc>
      </w:tr>
      <w:tr w:rsidR="00DC2B2A" w:rsidRPr="00D525A4" w14:paraId="209ED1B8" w14:textId="2BFF4464" w:rsidTr="00DC2B2A">
        <w:tc>
          <w:tcPr>
            <w:tcW w:w="8032" w:type="dxa"/>
            <w:shd w:val="clear" w:color="auto" w:fill="auto"/>
          </w:tcPr>
          <w:p w14:paraId="06BA5F45" w14:textId="77777777" w:rsidR="00DC2B2A" w:rsidRPr="00D525A4" w:rsidRDefault="00DC2B2A" w:rsidP="00B11DA4">
            <w:pPr>
              <w:pStyle w:val="Tabletext"/>
            </w:pPr>
          </w:p>
        </w:tc>
        <w:tc>
          <w:tcPr>
            <w:tcW w:w="8032" w:type="dxa"/>
            <w:shd w:val="clear" w:color="auto" w:fill="auto"/>
          </w:tcPr>
          <w:p w14:paraId="36E59556" w14:textId="77777777" w:rsidR="00DC2B2A" w:rsidRPr="00D525A4" w:rsidRDefault="00DC2B2A" w:rsidP="00B11DA4">
            <w:pPr>
              <w:pStyle w:val="Tabletext"/>
            </w:pPr>
          </w:p>
        </w:tc>
        <w:tc>
          <w:tcPr>
            <w:tcW w:w="8032" w:type="dxa"/>
          </w:tcPr>
          <w:p w14:paraId="7AEF7509" w14:textId="77777777" w:rsidR="00DC2B2A" w:rsidRPr="00D525A4" w:rsidRDefault="00DC2B2A" w:rsidP="00B11DA4">
            <w:pPr>
              <w:pStyle w:val="Tabletext"/>
            </w:pPr>
          </w:p>
        </w:tc>
      </w:tr>
      <w:tr w:rsidR="00DC2B2A" w:rsidRPr="00D525A4" w14:paraId="7DE7488D" w14:textId="4F69C9C3" w:rsidTr="00DC2B2A">
        <w:tc>
          <w:tcPr>
            <w:tcW w:w="8032" w:type="dxa"/>
            <w:shd w:val="clear" w:color="auto" w:fill="auto"/>
          </w:tcPr>
          <w:p w14:paraId="07E052A5" w14:textId="77777777" w:rsidR="00DC2B2A" w:rsidRPr="00D525A4" w:rsidRDefault="00DC2B2A" w:rsidP="00B11DA4">
            <w:pPr>
              <w:pStyle w:val="Tabletext"/>
            </w:pPr>
          </w:p>
        </w:tc>
        <w:tc>
          <w:tcPr>
            <w:tcW w:w="8032" w:type="dxa"/>
            <w:shd w:val="clear" w:color="auto" w:fill="auto"/>
          </w:tcPr>
          <w:p w14:paraId="43CF2C67" w14:textId="77777777" w:rsidR="00DC2B2A" w:rsidRPr="00D525A4" w:rsidRDefault="00DC2B2A" w:rsidP="00B11DA4">
            <w:pPr>
              <w:pStyle w:val="Tabletext"/>
            </w:pPr>
          </w:p>
        </w:tc>
        <w:tc>
          <w:tcPr>
            <w:tcW w:w="8032" w:type="dxa"/>
          </w:tcPr>
          <w:p w14:paraId="286E2278" w14:textId="77777777" w:rsidR="00DC2B2A" w:rsidRPr="00D525A4" w:rsidRDefault="00DC2B2A" w:rsidP="00B11DA4">
            <w:pPr>
              <w:pStyle w:val="Tabletext"/>
            </w:pPr>
          </w:p>
        </w:tc>
      </w:tr>
    </w:tbl>
    <w:p w14:paraId="77000258"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D525A4" w14:paraId="41F970C6" w14:textId="77777777" w:rsidTr="00B11DA4">
        <w:tc>
          <w:tcPr>
            <w:tcW w:w="8313" w:type="dxa"/>
            <w:shd w:val="clear" w:color="auto" w:fill="000000" w:themeFill="text1"/>
          </w:tcPr>
          <w:p w14:paraId="5666D4AA" w14:textId="77777777" w:rsidR="00FF7F38" w:rsidRPr="00D525A4" w:rsidRDefault="00FF7F38" w:rsidP="002F4595">
            <w:pPr>
              <w:pStyle w:val="TableHeading"/>
              <w:rPr>
                <w:i/>
              </w:rPr>
            </w:pPr>
            <w:r w:rsidRPr="00D525A4">
              <w:t>Do any attachments accompany this Notice?</w:t>
            </w:r>
          </w:p>
        </w:tc>
      </w:tr>
      <w:tr w:rsidR="00FF7F38" w:rsidRPr="00D525A4" w14:paraId="1FBFBDB8" w14:textId="77777777" w:rsidTr="00B11DA4">
        <w:tc>
          <w:tcPr>
            <w:tcW w:w="8313" w:type="dxa"/>
            <w:shd w:val="clear" w:color="auto" w:fill="auto"/>
          </w:tcPr>
          <w:p w14:paraId="19682ECE" w14:textId="77777777" w:rsidR="00FF7F38" w:rsidRPr="00D525A4" w:rsidRDefault="00FF7F38" w:rsidP="00B11DA4">
            <w:pPr>
              <w:pStyle w:val="Tabletext"/>
            </w:pPr>
            <w:r w:rsidRPr="00D525A4">
              <w:sym w:font="Webdings" w:char="F063"/>
            </w:r>
            <w:r w:rsidRPr="00D525A4">
              <w:t xml:space="preserve">  No</w:t>
            </w:r>
          </w:p>
          <w:p w14:paraId="4CD84444" w14:textId="77777777" w:rsidR="00FF7F38" w:rsidRPr="00D525A4" w:rsidRDefault="00FF7F38" w:rsidP="00B11DA4">
            <w:pPr>
              <w:pStyle w:val="Tabletext"/>
            </w:pPr>
          </w:p>
        </w:tc>
      </w:tr>
      <w:tr w:rsidR="00FF7F38" w:rsidRPr="00D525A4" w14:paraId="2E121A16" w14:textId="77777777" w:rsidTr="00B11DA4">
        <w:tc>
          <w:tcPr>
            <w:tcW w:w="8313" w:type="dxa"/>
            <w:shd w:val="clear" w:color="auto" w:fill="auto"/>
          </w:tcPr>
          <w:p w14:paraId="19DE0D98" w14:textId="77777777" w:rsidR="00FF7F38" w:rsidRPr="00D525A4" w:rsidRDefault="00FF7F38" w:rsidP="00B11DA4">
            <w:pPr>
              <w:pStyle w:val="Tabletext"/>
            </w:pPr>
            <w:r w:rsidRPr="00D525A4">
              <w:sym w:font="Webdings" w:char="F063"/>
            </w:r>
            <w:r w:rsidRPr="00D525A4">
              <w:t xml:space="preserve">  Yes                                    </w:t>
            </w:r>
            <w:r w:rsidRPr="00D525A4">
              <w:sym w:font="Webdings" w:char="F063"/>
            </w:r>
            <w:r w:rsidRPr="00D525A4">
              <w:t xml:space="preserve">  Number of attachments</w:t>
            </w:r>
          </w:p>
          <w:p w14:paraId="76BC3A36" w14:textId="77777777" w:rsidR="00FF7F38" w:rsidRPr="00D525A4" w:rsidRDefault="00FF7F38" w:rsidP="00B11DA4">
            <w:pPr>
              <w:pStyle w:val="Tabletext"/>
            </w:pPr>
          </w:p>
        </w:tc>
      </w:tr>
    </w:tbl>
    <w:p w14:paraId="077F8A33"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24"/>
      </w:tblGrid>
      <w:tr w:rsidR="00FF7F38" w:rsidRPr="00D525A4" w14:paraId="76F6BC02" w14:textId="77777777" w:rsidTr="00B11DA4">
        <w:tc>
          <w:tcPr>
            <w:tcW w:w="8313" w:type="dxa"/>
            <w:gridSpan w:val="2"/>
            <w:shd w:val="clear" w:color="auto" w:fill="000000" w:themeFill="text1"/>
          </w:tcPr>
          <w:p w14:paraId="42E56F97" w14:textId="77777777" w:rsidR="00FF7F38" w:rsidRPr="00D525A4" w:rsidRDefault="00FF7F38" w:rsidP="002F4595">
            <w:pPr>
              <w:pStyle w:val="TableHeading"/>
              <w:rPr>
                <w:i/>
              </w:rPr>
            </w:pPr>
            <w:r w:rsidRPr="00D525A4">
              <w:t>Details of senior member</w:t>
            </w:r>
          </w:p>
        </w:tc>
      </w:tr>
      <w:tr w:rsidR="00FF7F38" w:rsidRPr="00D525A4" w14:paraId="0C1E0397" w14:textId="77777777" w:rsidTr="00B11DA4">
        <w:tc>
          <w:tcPr>
            <w:tcW w:w="2689" w:type="dxa"/>
            <w:shd w:val="clear" w:color="auto" w:fill="auto"/>
          </w:tcPr>
          <w:p w14:paraId="729795DB" w14:textId="77777777" w:rsidR="00FF7F38" w:rsidRPr="00D525A4" w:rsidRDefault="00FF7F38" w:rsidP="00B11DA4">
            <w:pPr>
              <w:pStyle w:val="Tabletext"/>
            </w:pPr>
            <w:r w:rsidRPr="00D525A4">
              <w:t>Full name</w:t>
            </w:r>
          </w:p>
          <w:p w14:paraId="3C5CD996" w14:textId="77777777" w:rsidR="00FF7F38" w:rsidRPr="00D525A4" w:rsidRDefault="00FF7F38" w:rsidP="00B11DA4">
            <w:pPr>
              <w:pStyle w:val="Tabletext"/>
            </w:pPr>
          </w:p>
        </w:tc>
        <w:tc>
          <w:tcPr>
            <w:tcW w:w="5624" w:type="dxa"/>
            <w:shd w:val="clear" w:color="auto" w:fill="auto"/>
          </w:tcPr>
          <w:p w14:paraId="5114200A" w14:textId="77777777" w:rsidR="00FF7F38" w:rsidRPr="00D525A4" w:rsidRDefault="00FF7F38" w:rsidP="00B11DA4">
            <w:pPr>
              <w:pStyle w:val="Tabletext"/>
            </w:pPr>
          </w:p>
        </w:tc>
      </w:tr>
      <w:tr w:rsidR="00FF7F38" w:rsidRPr="00D525A4" w14:paraId="569E3C4C" w14:textId="77777777" w:rsidTr="00B11DA4">
        <w:tc>
          <w:tcPr>
            <w:tcW w:w="2689" w:type="dxa"/>
            <w:shd w:val="clear" w:color="auto" w:fill="auto"/>
          </w:tcPr>
          <w:p w14:paraId="767C772B" w14:textId="77777777" w:rsidR="00FF7F38" w:rsidRPr="00D525A4" w:rsidRDefault="00FF7F38" w:rsidP="00B11DA4">
            <w:pPr>
              <w:pStyle w:val="Tabletext"/>
            </w:pPr>
            <w:r w:rsidRPr="00D525A4">
              <w:t>Position</w:t>
            </w:r>
          </w:p>
          <w:p w14:paraId="1FF4991F" w14:textId="77777777" w:rsidR="00FF7F38" w:rsidRPr="00D525A4" w:rsidRDefault="00FF7F38" w:rsidP="00B11DA4">
            <w:pPr>
              <w:pStyle w:val="Tabletext"/>
            </w:pPr>
          </w:p>
        </w:tc>
        <w:tc>
          <w:tcPr>
            <w:tcW w:w="5624" w:type="dxa"/>
            <w:shd w:val="clear" w:color="auto" w:fill="auto"/>
          </w:tcPr>
          <w:p w14:paraId="05A2EE57" w14:textId="77777777" w:rsidR="00FF7F38" w:rsidRPr="00D525A4" w:rsidRDefault="00FF7F38" w:rsidP="00B11DA4">
            <w:pPr>
              <w:pStyle w:val="Tabletext"/>
            </w:pPr>
          </w:p>
        </w:tc>
      </w:tr>
      <w:tr w:rsidR="00FF7F38" w:rsidRPr="00D525A4" w14:paraId="1270F03B" w14:textId="77777777" w:rsidTr="00B11DA4">
        <w:tc>
          <w:tcPr>
            <w:tcW w:w="2689" w:type="dxa"/>
            <w:shd w:val="clear" w:color="auto" w:fill="auto"/>
          </w:tcPr>
          <w:p w14:paraId="0F7C0E66" w14:textId="77777777" w:rsidR="00FF7F38" w:rsidRPr="00D525A4" w:rsidRDefault="00FF7F38" w:rsidP="00B11DA4">
            <w:pPr>
              <w:pStyle w:val="Tabletext"/>
            </w:pPr>
            <w:r w:rsidRPr="00D525A4">
              <w:t>Agency</w:t>
            </w:r>
          </w:p>
          <w:p w14:paraId="254109EA" w14:textId="77777777" w:rsidR="00FF7F38" w:rsidRPr="00D525A4" w:rsidRDefault="00FF7F38" w:rsidP="00B11DA4">
            <w:pPr>
              <w:pStyle w:val="Tabletext"/>
            </w:pPr>
          </w:p>
        </w:tc>
        <w:tc>
          <w:tcPr>
            <w:tcW w:w="5624" w:type="dxa"/>
            <w:shd w:val="clear" w:color="auto" w:fill="auto"/>
          </w:tcPr>
          <w:p w14:paraId="4B262BF3" w14:textId="77777777" w:rsidR="00FF7F38" w:rsidRPr="00D525A4" w:rsidRDefault="00FF7F38" w:rsidP="00B11DA4">
            <w:pPr>
              <w:pStyle w:val="Tabletext"/>
            </w:pPr>
          </w:p>
        </w:tc>
      </w:tr>
    </w:tbl>
    <w:p w14:paraId="11BCD0F1"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D525A4" w14:paraId="3EB5EEAC" w14:textId="77777777" w:rsidTr="00B11DA4">
        <w:tc>
          <w:tcPr>
            <w:tcW w:w="8313" w:type="dxa"/>
            <w:shd w:val="clear" w:color="auto" w:fill="000000" w:themeFill="text1"/>
          </w:tcPr>
          <w:p w14:paraId="13A8684C" w14:textId="77777777" w:rsidR="00FF7F38" w:rsidRPr="00D525A4" w:rsidRDefault="00FF7F38" w:rsidP="002F4595">
            <w:pPr>
              <w:pStyle w:val="TableHeading"/>
              <w:rPr>
                <w:i/>
                <w:color w:val="FFFFFF" w:themeColor="background1"/>
              </w:rPr>
            </w:pPr>
            <w:r w:rsidRPr="00D525A4">
              <w:t>Declaration</w:t>
            </w:r>
          </w:p>
        </w:tc>
      </w:tr>
    </w:tbl>
    <w:p w14:paraId="649205C3" w14:textId="77777777" w:rsidR="00FF7F38" w:rsidRPr="00D525A4" w:rsidRDefault="00FF7F38" w:rsidP="00FF7F38">
      <w:pPr>
        <w:pStyle w:val="Tabletext"/>
      </w:pPr>
    </w:p>
    <w:p w14:paraId="50F3FC68" w14:textId="77777777" w:rsidR="00FF7F38" w:rsidRPr="00D525A4" w:rsidRDefault="00FF7F38" w:rsidP="00FF7F38">
      <w:pPr>
        <w:pStyle w:val="Tabletext"/>
      </w:pPr>
      <w:r w:rsidRPr="00D525A4">
        <w:rPr>
          <w:b/>
          <w:color w:val="000000"/>
        </w:rPr>
        <w:t>I am the senior member specified above and reasonably believe that the provision of a designated service by the reporting entity to the customer(s) specified in this Notice would assist in the investigation by the agency of a serious offence.</w:t>
      </w:r>
    </w:p>
    <w:p w14:paraId="3B26F135" w14:textId="77777777" w:rsidR="00FF7F38" w:rsidRPr="00D525A4" w:rsidRDefault="00FF7F38" w:rsidP="00FF7F38">
      <w:pPr>
        <w:pStyle w:val="Tabletext"/>
      </w:pPr>
    </w:p>
    <w:tbl>
      <w:tblPr>
        <w:tblW w:w="5000" w:type="pct"/>
        <w:tblLook w:val="0000" w:firstRow="0" w:lastRow="0" w:firstColumn="0" w:lastColumn="0" w:noHBand="0" w:noVBand="0"/>
      </w:tblPr>
      <w:tblGrid>
        <w:gridCol w:w="5363"/>
        <w:gridCol w:w="273"/>
        <w:gridCol w:w="2677"/>
      </w:tblGrid>
      <w:tr w:rsidR="00FF7F38" w:rsidRPr="00D525A4" w14:paraId="2C6FC438" w14:textId="77777777" w:rsidTr="00B11DA4">
        <w:trPr>
          <w:cantSplit/>
        </w:trPr>
        <w:tc>
          <w:tcPr>
            <w:tcW w:w="3226" w:type="pct"/>
          </w:tcPr>
          <w:p w14:paraId="60004669" w14:textId="77777777" w:rsidR="00FF7F38" w:rsidRPr="00D525A4" w:rsidRDefault="00FF7F38" w:rsidP="00B11DA4">
            <w:pPr>
              <w:pStyle w:val="Tabletext"/>
            </w:pPr>
            <w:r w:rsidRPr="00D525A4">
              <w:t>Signed</w:t>
            </w:r>
          </w:p>
        </w:tc>
        <w:tc>
          <w:tcPr>
            <w:tcW w:w="164" w:type="pct"/>
          </w:tcPr>
          <w:p w14:paraId="059A00EA" w14:textId="77777777" w:rsidR="00FF7F38" w:rsidRPr="00D525A4" w:rsidRDefault="00FF7F38" w:rsidP="00B11DA4">
            <w:pPr>
              <w:tabs>
                <w:tab w:val="left" w:pos="3435"/>
              </w:tabs>
              <w:rPr>
                <w:sz w:val="18"/>
              </w:rPr>
            </w:pPr>
          </w:p>
        </w:tc>
        <w:tc>
          <w:tcPr>
            <w:tcW w:w="1610" w:type="pct"/>
          </w:tcPr>
          <w:p w14:paraId="0021D186" w14:textId="77777777" w:rsidR="00FF7F38" w:rsidRPr="00D525A4" w:rsidRDefault="00FF7F38" w:rsidP="00B11DA4">
            <w:pPr>
              <w:pStyle w:val="Tabletext"/>
            </w:pPr>
            <w:r w:rsidRPr="00D525A4">
              <w:t>Date</w:t>
            </w:r>
          </w:p>
        </w:tc>
      </w:tr>
      <w:tr w:rsidR="00FF7F38" w:rsidRPr="00D525A4" w14:paraId="5FA09F0B" w14:textId="77777777" w:rsidTr="00B11DA4">
        <w:trPr>
          <w:cantSplit/>
        </w:trPr>
        <w:tc>
          <w:tcPr>
            <w:tcW w:w="3226" w:type="pct"/>
            <w:tcBorders>
              <w:top w:val="single" w:sz="4" w:space="0" w:color="auto"/>
              <w:left w:val="single" w:sz="4" w:space="0" w:color="auto"/>
              <w:bottom w:val="single" w:sz="4" w:space="0" w:color="auto"/>
              <w:right w:val="single" w:sz="4" w:space="0" w:color="auto"/>
            </w:tcBorders>
          </w:tcPr>
          <w:p w14:paraId="56C75736" w14:textId="77777777" w:rsidR="00FF7F38" w:rsidRPr="00D525A4" w:rsidRDefault="00FF7F38" w:rsidP="00B11DA4">
            <w:pPr>
              <w:spacing w:line="240" w:lineRule="auto"/>
              <w:rPr>
                <w:sz w:val="18"/>
              </w:rPr>
            </w:pPr>
          </w:p>
          <w:p w14:paraId="386983B1" w14:textId="77777777" w:rsidR="00FF7F38" w:rsidRPr="00D525A4" w:rsidRDefault="00FF7F38" w:rsidP="00B11DA4">
            <w:pPr>
              <w:spacing w:line="240" w:lineRule="auto"/>
              <w:rPr>
                <w:sz w:val="18"/>
              </w:rPr>
            </w:pPr>
          </w:p>
          <w:p w14:paraId="42EDE54F" w14:textId="77777777" w:rsidR="00FF7F38" w:rsidRPr="00D525A4" w:rsidRDefault="00FF7F38" w:rsidP="00B11DA4">
            <w:pPr>
              <w:spacing w:line="240" w:lineRule="auto"/>
              <w:rPr>
                <w:sz w:val="18"/>
              </w:rPr>
            </w:pPr>
          </w:p>
        </w:tc>
        <w:tc>
          <w:tcPr>
            <w:tcW w:w="164" w:type="pct"/>
            <w:tcBorders>
              <w:right w:val="single" w:sz="4" w:space="0" w:color="auto"/>
            </w:tcBorders>
          </w:tcPr>
          <w:p w14:paraId="3B82D088" w14:textId="77777777" w:rsidR="00FF7F38" w:rsidRPr="00D525A4" w:rsidRDefault="00FF7F38" w:rsidP="00B11DA4">
            <w:pPr>
              <w:tabs>
                <w:tab w:val="left" w:pos="3435"/>
              </w:tabs>
              <w:rPr>
                <w:sz w:val="18"/>
              </w:rPr>
            </w:pPr>
          </w:p>
        </w:tc>
        <w:tc>
          <w:tcPr>
            <w:tcW w:w="1610" w:type="pct"/>
            <w:tcBorders>
              <w:top w:val="single" w:sz="4" w:space="0" w:color="auto"/>
              <w:bottom w:val="single" w:sz="4" w:space="0" w:color="auto"/>
              <w:right w:val="single" w:sz="4" w:space="0" w:color="auto"/>
            </w:tcBorders>
          </w:tcPr>
          <w:p w14:paraId="2486BA2A" w14:textId="77777777" w:rsidR="00FF7F38" w:rsidRPr="00D525A4" w:rsidRDefault="00FF7F38" w:rsidP="00B11DA4">
            <w:pPr>
              <w:tabs>
                <w:tab w:val="left" w:pos="3435"/>
              </w:tabs>
              <w:rPr>
                <w:sz w:val="18"/>
              </w:rPr>
            </w:pPr>
          </w:p>
        </w:tc>
      </w:tr>
    </w:tbl>
    <w:p w14:paraId="30025545" w14:textId="77777777" w:rsidR="00FF7F38" w:rsidRPr="00D525A4" w:rsidRDefault="00FF7F38" w:rsidP="00FF7F38">
      <w:pPr>
        <w:pStyle w:val="ActHead3"/>
        <w:pageBreakBefore/>
      </w:pPr>
      <w:bookmarkStart w:id="193" w:name="_Toc198225075"/>
      <w:r w:rsidRPr="00D525A4">
        <w:rPr>
          <w:rStyle w:val="CharDivNo"/>
        </w:rPr>
        <w:lastRenderedPageBreak/>
        <w:t>Form 2</w:t>
      </w:r>
      <w:r w:rsidRPr="00D525A4">
        <w:t>—</w:t>
      </w:r>
      <w:r w:rsidRPr="00D525A4">
        <w:rPr>
          <w:rStyle w:val="CharDivText"/>
        </w:rPr>
        <w:t>Extension notice</w:t>
      </w:r>
      <w:bookmarkEnd w:id="193"/>
    </w:p>
    <w:p w14:paraId="7E2F76AF" w14:textId="77777777" w:rsidR="00CF5E40" w:rsidRPr="00D525A4" w:rsidRDefault="00CF5E40" w:rsidP="00CF5E40">
      <w:pPr>
        <w:pStyle w:val="FreeForm"/>
      </w:pPr>
    </w:p>
    <w:p w14:paraId="648DFD99" w14:textId="7B516F80" w:rsidR="00FF7F38" w:rsidRPr="00D525A4" w:rsidRDefault="00FF7F38" w:rsidP="00CF5E40">
      <w:pPr>
        <w:pStyle w:val="FreeForm"/>
        <w:rPr>
          <w:rFonts w:ascii="Times New Roman" w:hAnsi="Times New Roman" w:cs="Times New Roman"/>
          <w:b/>
          <w:bCs/>
          <w:sz w:val="24"/>
          <w:szCs w:val="24"/>
        </w:rPr>
      </w:pPr>
      <w:r w:rsidRPr="00D525A4">
        <w:rPr>
          <w:rFonts w:ascii="Times New Roman" w:hAnsi="Times New Roman" w:cs="Times New Roman"/>
          <w:b/>
          <w:bCs/>
          <w:sz w:val="24"/>
          <w:szCs w:val="24"/>
        </w:rPr>
        <w:t>KEEP OPEN NOTICE—EXTENSION NOTICE</w:t>
      </w:r>
    </w:p>
    <w:p w14:paraId="3646C600" w14:textId="35AAF385" w:rsidR="00FF7F38" w:rsidRPr="00D525A4" w:rsidRDefault="00606BBD" w:rsidP="00FF7F38">
      <w:pPr>
        <w:pStyle w:val="notemargin"/>
      </w:pPr>
      <w:r w:rsidRPr="00D525A4">
        <w:t>Sub</w:t>
      </w:r>
      <w:r w:rsidR="0013261E" w:rsidRPr="00D525A4">
        <w:t>section 3</w:t>
      </w:r>
      <w:r w:rsidR="00FF7F38" w:rsidRPr="00D525A4">
        <w:t xml:space="preserve">9B(7) of the </w:t>
      </w:r>
      <w:r w:rsidR="00FF7F38" w:rsidRPr="00D525A4">
        <w:rPr>
          <w:i/>
        </w:rPr>
        <w:t>Anti</w:t>
      </w:r>
      <w:r w:rsidR="00D525A4">
        <w:rPr>
          <w:i/>
        </w:rPr>
        <w:noBreakHyphen/>
      </w:r>
      <w:r w:rsidR="00FF7F38" w:rsidRPr="00D525A4">
        <w:rPr>
          <w:i/>
        </w:rPr>
        <w:t>Money Laundering and Counter</w:t>
      </w:r>
      <w:r w:rsidR="00D525A4">
        <w:rPr>
          <w:i/>
        </w:rPr>
        <w:noBreakHyphen/>
      </w:r>
      <w:r w:rsidR="00FF7F38" w:rsidRPr="00D525A4">
        <w:rPr>
          <w:i/>
        </w:rPr>
        <w:t>Terrorism Financing Act 2006</w:t>
      </w:r>
    </w:p>
    <w:p w14:paraId="423C94F0" w14:textId="77777777" w:rsidR="00CF5E40" w:rsidRPr="00D525A4" w:rsidRDefault="00CF5E40" w:rsidP="00CF5E40">
      <w:pPr>
        <w:pStyle w:val="FreeForm"/>
      </w:pPr>
    </w:p>
    <w:p w14:paraId="5426CBA9" w14:textId="129D93D2" w:rsidR="00FF7F38" w:rsidRPr="00D525A4" w:rsidRDefault="00FF7F38" w:rsidP="00CF5E40">
      <w:pPr>
        <w:pStyle w:val="FreeForm"/>
        <w:rPr>
          <w:rFonts w:ascii="Times New Roman" w:hAnsi="Times New Roman" w:cs="Times New Roman"/>
          <w:b/>
          <w:bCs/>
          <w:sz w:val="24"/>
          <w:szCs w:val="24"/>
        </w:rPr>
      </w:pPr>
      <w:r w:rsidRPr="00D525A4">
        <w:rPr>
          <w:rFonts w:ascii="Times New Roman" w:hAnsi="Times New Roman" w:cs="Times New Roman"/>
          <w:b/>
          <w:bCs/>
          <w:sz w:val="24"/>
          <w:szCs w:val="24"/>
        </w:rPr>
        <w:t>Explanation of this notice</w:t>
      </w:r>
    </w:p>
    <w:p w14:paraId="6F5FEE2E" w14:textId="77777777" w:rsidR="00FF7F38" w:rsidRPr="00D525A4" w:rsidRDefault="00FF7F38" w:rsidP="00FF7F38">
      <w:pPr>
        <w:pStyle w:val="Tabletext"/>
      </w:pPr>
    </w:p>
    <w:tbl>
      <w:tblPr>
        <w:tblW w:w="0" w:type="auto"/>
        <w:tblInd w:w="113" w:type="dxa"/>
        <w:tblLayout w:type="fixed"/>
        <w:tblLook w:val="0000" w:firstRow="0" w:lastRow="0" w:firstColumn="0" w:lastColumn="0" w:noHBand="0" w:noVBand="0"/>
      </w:tblPr>
      <w:tblGrid>
        <w:gridCol w:w="714"/>
        <w:gridCol w:w="7599"/>
      </w:tblGrid>
      <w:tr w:rsidR="00FF7F38" w:rsidRPr="00D525A4" w14:paraId="4ECFDE0B" w14:textId="77777777" w:rsidTr="00B11DA4">
        <w:tc>
          <w:tcPr>
            <w:tcW w:w="714" w:type="dxa"/>
            <w:shd w:val="clear" w:color="auto" w:fill="auto"/>
          </w:tcPr>
          <w:p w14:paraId="4E41481B" w14:textId="77777777" w:rsidR="00FF7F38" w:rsidRPr="00D525A4" w:rsidRDefault="00FF7F38" w:rsidP="00B11DA4">
            <w:pPr>
              <w:pStyle w:val="Tabletext"/>
              <w:rPr>
                <w:rFonts w:eastAsiaTheme="minorHAnsi"/>
              </w:rPr>
            </w:pPr>
            <w:r w:rsidRPr="00D525A4">
              <w:rPr>
                <w:rFonts w:eastAsiaTheme="minorHAnsi"/>
              </w:rPr>
              <w:t>1</w:t>
            </w:r>
          </w:p>
        </w:tc>
        <w:tc>
          <w:tcPr>
            <w:tcW w:w="7599" w:type="dxa"/>
            <w:shd w:val="clear" w:color="auto" w:fill="auto"/>
          </w:tcPr>
          <w:p w14:paraId="39781524" w14:textId="77A129C7" w:rsidR="00FF7F38" w:rsidRPr="00D525A4" w:rsidRDefault="00FF7F38" w:rsidP="00B11DA4">
            <w:pPr>
              <w:pStyle w:val="Tabletext"/>
              <w:rPr>
                <w:rFonts w:eastAsiaTheme="minorHAnsi"/>
              </w:rPr>
            </w:pPr>
            <w:r w:rsidRPr="00D525A4">
              <w:rPr>
                <w:rFonts w:eastAsiaTheme="minorHAnsi"/>
              </w:rPr>
              <w:t xml:space="preserve">This extension notice is issued pursuant to </w:t>
            </w:r>
            <w:r w:rsidR="00606BBD" w:rsidRPr="00D525A4">
              <w:rPr>
                <w:rFonts w:eastAsiaTheme="minorHAnsi"/>
              </w:rPr>
              <w:t>sub</w:t>
            </w:r>
            <w:r w:rsidR="0013261E" w:rsidRPr="00D525A4">
              <w:rPr>
                <w:rFonts w:eastAsiaTheme="minorHAnsi"/>
              </w:rPr>
              <w:t>section 3</w:t>
            </w:r>
            <w:r w:rsidRPr="00D525A4">
              <w:rPr>
                <w:rFonts w:eastAsiaTheme="minorHAnsi"/>
              </w:rPr>
              <w:t xml:space="preserve">9B(7) of the </w:t>
            </w:r>
            <w:r w:rsidRPr="00D525A4">
              <w:rPr>
                <w:rFonts w:eastAsiaTheme="minorHAnsi"/>
                <w:i/>
              </w:rPr>
              <w:t>Anti</w:t>
            </w:r>
            <w:r w:rsidR="00D525A4">
              <w:rPr>
                <w:rFonts w:eastAsiaTheme="minorHAnsi"/>
                <w:i/>
              </w:rPr>
              <w:noBreakHyphen/>
            </w:r>
            <w:r w:rsidRPr="00D525A4">
              <w:rPr>
                <w:rFonts w:eastAsiaTheme="minorHAnsi"/>
                <w:i/>
              </w:rPr>
              <w:t>Money Laundering and Counter</w:t>
            </w:r>
            <w:r w:rsidR="00D525A4">
              <w:rPr>
                <w:rFonts w:eastAsiaTheme="minorHAnsi"/>
                <w:i/>
              </w:rPr>
              <w:noBreakHyphen/>
            </w:r>
            <w:r w:rsidRPr="00D525A4">
              <w:rPr>
                <w:rFonts w:eastAsiaTheme="minorHAnsi"/>
                <w:i/>
              </w:rPr>
              <w:t>Terrorism Financing Act 2006</w:t>
            </w:r>
            <w:r w:rsidRPr="00D525A4">
              <w:rPr>
                <w:rFonts w:eastAsiaTheme="minorHAnsi"/>
              </w:rPr>
              <w:t xml:space="preserve"> (AML/CTF Act).</w:t>
            </w:r>
          </w:p>
        </w:tc>
      </w:tr>
      <w:tr w:rsidR="00FF7F38" w:rsidRPr="00D525A4" w14:paraId="07695E20" w14:textId="77777777" w:rsidTr="00B11DA4">
        <w:tc>
          <w:tcPr>
            <w:tcW w:w="714" w:type="dxa"/>
            <w:shd w:val="clear" w:color="auto" w:fill="auto"/>
          </w:tcPr>
          <w:p w14:paraId="17862F47" w14:textId="77777777" w:rsidR="00FF7F38" w:rsidRPr="00D525A4" w:rsidRDefault="00FF7F38" w:rsidP="00B11DA4">
            <w:pPr>
              <w:pStyle w:val="Tabletext"/>
              <w:rPr>
                <w:rFonts w:eastAsiaTheme="minorHAnsi"/>
              </w:rPr>
            </w:pPr>
            <w:r w:rsidRPr="00D525A4">
              <w:rPr>
                <w:rFonts w:eastAsiaTheme="minorHAnsi"/>
              </w:rPr>
              <w:t>2</w:t>
            </w:r>
          </w:p>
        </w:tc>
        <w:tc>
          <w:tcPr>
            <w:tcW w:w="7599" w:type="dxa"/>
            <w:shd w:val="clear" w:color="auto" w:fill="auto"/>
          </w:tcPr>
          <w:p w14:paraId="11D0841F" w14:textId="77777777" w:rsidR="00FF7F38" w:rsidRPr="00D525A4" w:rsidRDefault="00FF7F38" w:rsidP="00B11DA4">
            <w:pPr>
              <w:pStyle w:val="Tabletext"/>
              <w:rPr>
                <w:rFonts w:eastAsiaTheme="minorHAnsi"/>
              </w:rPr>
            </w:pPr>
            <w:r w:rsidRPr="00D525A4">
              <w:rPr>
                <w:rFonts w:eastAsiaTheme="minorHAnsi"/>
              </w:rPr>
              <w:t>This extension notice extends the period that a keep open notice remains in force for a further period of 6 months.</w:t>
            </w:r>
          </w:p>
        </w:tc>
      </w:tr>
      <w:tr w:rsidR="00FF7F38" w:rsidRPr="00D525A4" w14:paraId="581F1268" w14:textId="77777777" w:rsidTr="00B11DA4">
        <w:tc>
          <w:tcPr>
            <w:tcW w:w="714" w:type="dxa"/>
            <w:shd w:val="clear" w:color="auto" w:fill="auto"/>
          </w:tcPr>
          <w:p w14:paraId="704CA253" w14:textId="77777777" w:rsidR="00FF7F38" w:rsidRPr="00D525A4" w:rsidRDefault="00FF7F38" w:rsidP="00B11DA4">
            <w:pPr>
              <w:pStyle w:val="Tabletext"/>
              <w:rPr>
                <w:rFonts w:eastAsiaTheme="minorHAnsi"/>
              </w:rPr>
            </w:pPr>
            <w:r w:rsidRPr="00D525A4">
              <w:rPr>
                <w:rFonts w:eastAsiaTheme="minorHAnsi"/>
              </w:rPr>
              <w:t>3</w:t>
            </w:r>
          </w:p>
        </w:tc>
        <w:tc>
          <w:tcPr>
            <w:tcW w:w="7599" w:type="dxa"/>
            <w:shd w:val="clear" w:color="auto" w:fill="auto"/>
          </w:tcPr>
          <w:p w14:paraId="46FC4CE7" w14:textId="77777777" w:rsidR="00FF7F38" w:rsidRPr="00D525A4" w:rsidRDefault="00FF7F38" w:rsidP="00B11DA4">
            <w:pPr>
              <w:pStyle w:val="Tabletext"/>
              <w:rPr>
                <w:rFonts w:eastAsiaTheme="minorHAnsi"/>
              </w:rPr>
            </w:pPr>
            <w:r w:rsidRPr="00D525A4">
              <w:rPr>
                <w:rFonts w:eastAsiaTheme="minorHAnsi"/>
              </w:rPr>
              <w:t>This extension notice must be issued to the reporting entity to whom the keep open notice was issued before the expiry of the keep open notice.</w:t>
            </w:r>
          </w:p>
        </w:tc>
      </w:tr>
      <w:tr w:rsidR="00FF7F38" w:rsidRPr="00D525A4" w14:paraId="7BC08ABC" w14:textId="77777777" w:rsidTr="00B11DA4">
        <w:tc>
          <w:tcPr>
            <w:tcW w:w="714" w:type="dxa"/>
            <w:shd w:val="clear" w:color="auto" w:fill="auto"/>
          </w:tcPr>
          <w:p w14:paraId="3B120D7A" w14:textId="77777777" w:rsidR="00FF7F38" w:rsidRPr="00D525A4" w:rsidRDefault="00FF7F38" w:rsidP="00B11DA4">
            <w:pPr>
              <w:pStyle w:val="Tabletext"/>
              <w:rPr>
                <w:rFonts w:eastAsiaTheme="minorHAnsi"/>
              </w:rPr>
            </w:pPr>
            <w:r w:rsidRPr="00D525A4">
              <w:rPr>
                <w:rFonts w:eastAsiaTheme="minorHAnsi"/>
              </w:rPr>
              <w:t>4</w:t>
            </w:r>
          </w:p>
        </w:tc>
        <w:tc>
          <w:tcPr>
            <w:tcW w:w="7599" w:type="dxa"/>
            <w:shd w:val="clear" w:color="auto" w:fill="auto"/>
          </w:tcPr>
          <w:p w14:paraId="3E9BD82A" w14:textId="7871C5D2" w:rsidR="00FF7F38" w:rsidRPr="00D525A4" w:rsidRDefault="00FF7F38" w:rsidP="00B11DA4">
            <w:pPr>
              <w:pStyle w:val="Tabletext"/>
              <w:rPr>
                <w:rFonts w:eastAsiaTheme="minorHAnsi"/>
              </w:rPr>
            </w:pPr>
            <w:r w:rsidRPr="00D525A4">
              <w:rPr>
                <w:rFonts w:eastAsiaTheme="minorHAnsi"/>
              </w:rPr>
              <w:t xml:space="preserve">A senior member of </w:t>
            </w:r>
            <w:r w:rsidRPr="00D525A4">
              <w:rPr>
                <w:color w:val="000000"/>
              </w:rPr>
              <w:t xml:space="preserve">the kind listed in </w:t>
            </w:r>
            <w:r w:rsidR="00606BBD" w:rsidRPr="00D525A4">
              <w:rPr>
                <w:color w:val="000000"/>
              </w:rPr>
              <w:t>sub</w:t>
            </w:r>
            <w:r w:rsidR="0013261E" w:rsidRPr="00D525A4">
              <w:rPr>
                <w:color w:val="000000"/>
              </w:rPr>
              <w:t>section 3</w:t>
            </w:r>
            <w:r w:rsidRPr="00D525A4">
              <w:rPr>
                <w:color w:val="000000"/>
              </w:rPr>
              <w:t>9B(3) of the AML/CTF Act</w:t>
            </w:r>
            <w:r w:rsidRPr="00D525A4">
              <w:rPr>
                <w:rFonts w:eastAsiaTheme="minorHAnsi"/>
              </w:rPr>
              <w:t xml:space="preserve"> reasonably believes that the continued provision of a designated service by the reporting entity to the customer(s) specified in the keep open notice would assist in the investigation by the agency of a serious offence.</w:t>
            </w:r>
          </w:p>
        </w:tc>
      </w:tr>
      <w:tr w:rsidR="00FF7F38" w:rsidRPr="00D525A4" w14:paraId="3B40F348" w14:textId="77777777" w:rsidTr="00B11DA4">
        <w:tc>
          <w:tcPr>
            <w:tcW w:w="714" w:type="dxa"/>
            <w:shd w:val="clear" w:color="auto" w:fill="auto"/>
          </w:tcPr>
          <w:p w14:paraId="24975971" w14:textId="77777777" w:rsidR="00FF7F38" w:rsidRPr="00D525A4" w:rsidRDefault="00FF7F38" w:rsidP="00B11DA4">
            <w:pPr>
              <w:pStyle w:val="Tabletext"/>
              <w:rPr>
                <w:rFonts w:eastAsiaTheme="minorHAnsi"/>
              </w:rPr>
            </w:pPr>
            <w:r w:rsidRPr="00D525A4">
              <w:rPr>
                <w:rFonts w:eastAsiaTheme="minorHAnsi"/>
              </w:rPr>
              <w:t>5</w:t>
            </w:r>
          </w:p>
        </w:tc>
        <w:tc>
          <w:tcPr>
            <w:tcW w:w="7599" w:type="dxa"/>
            <w:shd w:val="clear" w:color="auto" w:fill="auto"/>
          </w:tcPr>
          <w:p w14:paraId="5D4F035D" w14:textId="2CE17423" w:rsidR="00FF7F38" w:rsidRPr="00D525A4" w:rsidRDefault="00FF7F38" w:rsidP="00B11DA4">
            <w:pPr>
              <w:pStyle w:val="Tabletext"/>
              <w:rPr>
                <w:rFonts w:eastAsiaTheme="minorHAnsi"/>
              </w:rPr>
            </w:pPr>
            <w:r w:rsidRPr="00D525A4">
              <w:t xml:space="preserve">Pursuant to </w:t>
            </w:r>
            <w:r w:rsidR="00606BBD" w:rsidRPr="00D525A4">
              <w:t>sub</w:t>
            </w:r>
            <w:r w:rsidR="0013261E" w:rsidRPr="00D525A4">
              <w:t>section 3</w:t>
            </w:r>
            <w:r w:rsidRPr="00D525A4">
              <w:t>9A(2) of the AML/CTF Act,</w:t>
            </w:r>
            <w:r w:rsidRPr="00D525A4">
              <w:rPr>
                <w:rFonts w:eastAsiaTheme="minorHAnsi"/>
              </w:rPr>
              <w:t xml:space="preserve"> the reporting entity continues to be exempt from </w:t>
            </w:r>
            <w:r w:rsidR="0010391B" w:rsidRPr="00D525A4">
              <w:rPr>
                <w:rFonts w:eastAsiaTheme="minorHAnsi"/>
              </w:rPr>
              <w:t>section 2</w:t>
            </w:r>
            <w:r w:rsidRPr="00D525A4">
              <w:rPr>
                <w:rFonts w:eastAsiaTheme="minorHAnsi"/>
              </w:rPr>
              <w:t>6G, 28 or 30 of the AML/CTF Act in respect of the continued provision of a designated service to a customer specified in the keep open notice to the extent that the reporting entity reasonably believes that compliance with that section would or could reasonably be expected to alert the customer to the existence of a criminal investigation.</w:t>
            </w:r>
          </w:p>
        </w:tc>
      </w:tr>
      <w:tr w:rsidR="00FF7F38" w:rsidRPr="00D525A4" w14:paraId="0708A138" w14:textId="77777777" w:rsidTr="00B11DA4">
        <w:tc>
          <w:tcPr>
            <w:tcW w:w="714" w:type="dxa"/>
            <w:shd w:val="clear" w:color="auto" w:fill="auto"/>
          </w:tcPr>
          <w:p w14:paraId="45C1EB98" w14:textId="77777777" w:rsidR="00FF7F38" w:rsidRPr="00D525A4" w:rsidRDefault="00FF7F38" w:rsidP="00B11DA4">
            <w:pPr>
              <w:pStyle w:val="Tabletext"/>
              <w:rPr>
                <w:rFonts w:eastAsiaTheme="minorHAnsi"/>
              </w:rPr>
            </w:pPr>
            <w:r w:rsidRPr="00D525A4">
              <w:rPr>
                <w:rFonts w:eastAsiaTheme="minorHAnsi"/>
              </w:rPr>
              <w:t>6</w:t>
            </w:r>
          </w:p>
        </w:tc>
        <w:tc>
          <w:tcPr>
            <w:tcW w:w="7599" w:type="dxa"/>
            <w:shd w:val="clear" w:color="auto" w:fill="auto"/>
          </w:tcPr>
          <w:p w14:paraId="3B780946" w14:textId="7BC1B397" w:rsidR="00FF7F38" w:rsidRPr="00D525A4" w:rsidRDefault="00FF7F38" w:rsidP="00B11DA4">
            <w:pPr>
              <w:pStyle w:val="Tabletext"/>
              <w:rPr>
                <w:rFonts w:eastAsiaTheme="minorHAnsi"/>
              </w:rPr>
            </w:pPr>
            <w:r w:rsidRPr="00D525A4">
              <w:rPr>
                <w:rFonts w:eastAsiaTheme="minorHAnsi"/>
              </w:rPr>
              <w:t xml:space="preserve">If the exemption referred to in </w:t>
            </w:r>
            <w:r w:rsidR="0056097B" w:rsidRPr="00D525A4">
              <w:rPr>
                <w:rFonts w:eastAsiaTheme="minorHAnsi"/>
              </w:rPr>
              <w:t>paragraph 5</w:t>
            </w:r>
            <w:r w:rsidRPr="00D525A4">
              <w:rPr>
                <w:rFonts w:eastAsiaTheme="minorHAnsi"/>
              </w:rPr>
              <w:t xml:space="preserve"> applies in relation to the continued provision by the reporting entity of a designated service to the customer, </w:t>
            </w:r>
            <w:r w:rsidR="0013261E" w:rsidRPr="00D525A4">
              <w:rPr>
                <w:rFonts w:eastAsiaTheme="minorHAnsi"/>
              </w:rPr>
              <w:t>section 1</w:t>
            </w:r>
            <w:r w:rsidRPr="00D525A4">
              <w:rPr>
                <w:rFonts w:eastAsiaTheme="minorHAnsi"/>
              </w:rPr>
              <w:t>39 of the AML/CTF Act (providing a designated service using a false customer name or customer anonymity) does not apply in relation to the continued provision by the reporting entity of that designated service to the customer.</w:t>
            </w:r>
          </w:p>
        </w:tc>
      </w:tr>
      <w:tr w:rsidR="00FF7F38" w:rsidRPr="00D525A4" w14:paraId="15F9DE68" w14:textId="77777777" w:rsidTr="00B11DA4">
        <w:tc>
          <w:tcPr>
            <w:tcW w:w="714" w:type="dxa"/>
            <w:shd w:val="clear" w:color="auto" w:fill="auto"/>
          </w:tcPr>
          <w:p w14:paraId="711D8C33" w14:textId="77777777" w:rsidR="00FF7F38" w:rsidRPr="00D525A4" w:rsidRDefault="00FF7F38" w:rsidP="00B11DA4">
            <w:pPr>
              <w:pStyle w:val="Tabletext"/>
              <w:rPr>
                <w:rFonts w:eastAsiaTheme="minorHAnsi"/>
              </w:rPr>
            </w:pPr>
            <w:r w:rsidRPr="00D525A4">
              <w:rPr>
                <w:rFonts w:eastAsiaTheme="minorHAnsi"/>
              </w:rPr>
              <w:t>7</w:t>
            </w:r>
          </w:p>
        </w:tc>
        <w:tc>
          <w:tcPr>
            <w:tcW w:w="7599" w:type="dxa"/>
            <w:shd w:val="clear" w:color="auto" w:fill="auto"/>
          </w:tcPr>
          <w:p w14:paraId="15987CD6" w14:textId="77777777" w:rsidR="00FF7F38" w:rsidRPr="00D525A4" w:rsidRDefault="00FF7F38" w:rsidP="00B11DA4">
            <w:pPr>
              <w:pStyle w:val="Tabletext"/>
              <w:rPr>
                <w:rFonts w:eastAsiaTheme="minorHAnsi"/>
              </w:rPr>
            </w:pPr>
            <w:r w:rsidRPr="00D525A4">
              <w:rPr>
                <w:rFonts w:eastAsiaTheme="minorHAnsi"/>
              </w:rPr>
              <w:t>The AUSTRAC CEO has been sent a copy of this extension notice.</w:t>
            </w:r>
          </w:p>
        </w:tc>
      </w:tr>
      <w:tr w:rsidR="00FF7F38" w:rsidRPr="00D525A4" w14:paraId="45213561" w14:textId="77777777" w:rsidTr="00B11DA4">
        <w:tc>
          <w:tcPr>
            <w:tcW w:w="714" w:type="dxa"/>
            <w:shd w:val="clear" w:color="auto" w:fill="auto"/>
          </w:tcPr>
          <w:p w14:paraId="2DD60C41" w14:textId="77777777" w:rsidR="00FF7F38" w:rsidRPr="00D525A4" w:rsidRDefault="00FF7F38" w:rsidP="00B11DA4">
            <w:pPr>
              <w:pStyle w:val="Tabletext"/>
              <w:rPr>
                <w:rFonts w:eastAsiaTheme="minorHAnsi"/>
              </w:rPr>
            </w:pPr>
            <w:r w:rsidRPr="00D525A4">
              <w:rPr>
                <w:rFonts w:eastAsiaTheme="minorHAnsi"/>
              </w:rPr>
              <w:t>8</w:t>
            </w:r>
          </w:p>
        </w:tc>
        <w:tc>
          <w:tcPr>
            <w:tcW w:w="7599" w:type="dxa"/>
            <w:shd w:val="clear" w:color="auto" w:fill="auto"/>
          </w:tcPr>
          <w:p w14:paraId="07A0F69A" w14:textId="77777777" w:rsidR="00FF7F38" w:rsidRPr="00D525A4" w:rsidRDefault="00FF7F38" w:rsidP="00B11DA4">
            <w:pPr>
              <w:pStyle w:val="Tabletext"/>
              <w:rPr>
                <w:rFonts w:eastAsiaTheme="minorHAnsi"/>
              </w:rPr>
            </w:pPr>
            <w:r w:rsidRPr="00D525A4">
              <w:rPr>
                <w:rFonts w:eastAsiaTheme="minorHAnsi"/>
              </w:rPr>
              <w:t>This extension notice does not compel the reporting entity to continue to provide a designated service to a customer specified in this extension notice</w:t>
            </w:r>
          </w:p>
        </w:tc>
      </w:tr>
      <w:tr w:rsidR="00FF7F38" w:rsidRPr="00D525A4" w14:paraId="3B9211E6" w14:textId="77777777" w:rsidTr="00B11DA4">
        <w:tc>
          <w:tcPr>
            <w:tcW w:w="714" w:type="dxa"/>
            <w:shd w:val="clear" w:color="auto" w:fill="auto"/>
          </w:tcPr>
          <w:p w14:paraId="2609B65D" w14:textId="77777777" w:rsidR="00FF7F38" w:rsidRPr="00D525A4" w:rsidRDefault="00FF7F38" w:rsidP="00B11DA4">
            <w:pPr>
              <w:pStyle w:val="Tabletext"/>
              <w:rPr>
                <w:rFonts w:eastAsiaTheme="minorHAnsi"/>
              </w:rPr>
            </w:pPr>
            <w:r w:rsidRPr="00D525A4">
              <w:rPr>
                <w:rFonts w:eastAsiaTheme="minorHAnsi"/>
              </w:rPr>
              <w:t>9</w:t>
            </w:r>
          </w:p>
        </w:tc>
        <w:tc>
          <w:tcPr>
            <w:tcW w:w="7599" w:type="dxa"/>
            <w:shd w:val="clear" w:color="auto" w:fill="auto"/>
          </w:tcPr>
          <w:p w14:paraId="5DA5C561" w14:textId="28CFD88F" w:rsidR="00FF7F38" w:rsidRPr="00D525A4" w:rsidRDefault="00FF7F38" w:rsidP="00B11DA4">
            <w:pPr>
              <w:pStyle w:val="Tabletext"/>
              <w:rPr>
                <w:rFonts w:eastAsiaTheme="minorHAnsi"/>
              </w:rPr>
            </w:pPr>
            <w:r w:rsidRPr="00D525A4">
              <w:rPr>
                <w:rFonts w:eastAsiaTheme="minorHAnsi"/>
              </w:rPr>
              <w:t xml:space="preserve">A suspicious matter reporting obligation does not arise for a reporting entity in relation to a customer upon the receipt of this extension notice. However, a suspicious matter reporting obligation may otherwise arise for the reporting entity in relation to the customer in accordance with </w:t>
            </w:r>
            <w:r w:rsidR="005C5E95" w:rsidRPr="00D525A4">
              <w:rPr>
                <w:rFonts w:eastAsiaTheme="minorHAnsi"/>
              </w:rPr>
              <w:t>section 4</w:t>
            </w:r>
            <w:r w:rsidRPr="00D525A4">
              <w:rPr>
                <w:rFonts w:eastAsiaTheme="minorHAnsi"/>
              </w:rPr>
              <w:t>1 of the AML/CTF Act.</w:t>
            </w:r>
          </w:p>
        </w:tc>
      </w:tr>
      <w:tr w:rsidR="00FF7F38" w:rsidRPr="00D525A4" w14:paraId="43D750C4" w14:textId="77777777" w:rsidTr="00B11DA4">
        <w:tc>
          <w:tcPr>
            <w:tcW w:w="714" w:type="dxa"/>
            <w:shd w:val="clear" w:color="auto" w:fill="auto"/>
          </w:tcPr>
          <w:p w14:paraId="6DC58177" w14:textId="77777777" w:rsidR="00FF7F38" w:rsidRPr="00D525A4" w:rsidRDefault="00FF7F38" w:rsidP="00B11DA4">
            <w:pPr>
              <w:pStyle w:val="Tabletext"/>
              <w:rPr>
                <w:rFonts w:eastAsiaTheme="minorHAnsi"/>
              </w:rPr>
            </w:pPr>
            <w:r w:rsidRPr="00D525A4">
              <w:rPr>
                <w:rFonts w:eastAsiaTheme="minorHAnsi"/>
              </w:rPr>
              <w:t>10</w:t>
            </w:r>
          </w:p>
        </w:tc>
        <w:tc>
          <w:tcPr>
            <w:tcW w:w="7599" w:type="dxa"/>
            <w:shd w:val="clear" w:color="auto" w:fill="auto"/>
          </w:tcPr>
          <w:p w14:paraId="4D04950F" w14:textId="6064AB08" w:rsidR="00FF7F38" w:rsidRPr="00D525A4" w:rsidRDefault="00FF7F38" w:rsidP="00B11DA4">
            <w:pPr>
              <w:pStyle w:val="Tabletext"/>
              <w:rPr>
                <w:rFonts w:eastAsiaTheme="minorHAnsi"/>
              </w:rPr>
            </w:pPr>
            <w:r w:rsidRPr="00D525A4">
              <w:rPr>
                <w:rFonts w:eastAsiaTheme="minorHAnsi"/>
              </w:rPr>
              <w:t xml:space="preserve">The period for which the keep open notice remains in force may be extended for a further period of 6 months if a senior member of the issuing agency issues an extension notice under </w:t>
            </w:r>
            <w:r w:rsidR="00606BBD" w:rsidRPr="00D525A4">
              <w:rPr>
                <w:rFonts w:eastAsiaTheme="minorHAnsi"/>
              </w:rPr>
              <w:t>sub</w:t>
            </w:r>
            <w:r w:rsidR="0013261E" w:rsidRPr="00D525A4">
              <w:rPr>
                <w:rFonts w:eastAsiaTheme="minorHAnsi"/>
              </w:rPr>
              <w:t>section 3</w:t>
            </w:r>
            <w:r w:rsidRPr="00D525A4">
              <w:rPr>
                <w:rFonts w:eastAsiaTheme="minorHAnsi"/>
              </w:rPr>
              <w:t>9B(7) of the AML/CTF Act.</w:t>
            </w:r>
          </w:p>
        </w:tc>
      </w:tr>
    </w:tbl>
    <w:p w14:paraId="364253C2"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D525A4" w14:paraId="2F572BE0" w14:textId="77777777" w:rsidTr="00B11DA4">
        <w:tc>
          <w:tcPr>
            <w:tcW w:w="8313" w:type="dxa"/>
            <w:shd w:val="clear" w:color="auto" w:fill="000000" w:themeFill="text1"/>
          </w:tcPr>
          <w:p w14:paraId="29940A2D" w14:textId="77777777" w:rsidR="00FF7F38" w:rsidRPr="00D525A4" w:rsidRDefault="00FF7F38" w:rsidP="002F4595">
            <w:pPr>
              <w:pStyle w:val="TableHeading"/>
            </w:pPr>
            <w:r w:rsidRPr="00D525A4">
              <w:t>Full name of reporting entity to whom the keep open notice was issued</w:t>
            </w:r>
          </w:p>
        </w:tc>
      </w:tr>
      <w:tr w:rsidR="00FF7F38" w:rsidRPr="00D525A4" w14:paraId="27F707D0" w14:textId="77777777" w:rsidTr="00B11DA4">
        <w:tc>
          <w:tcPr>
            <w:tcW w:w="8313" w:type="dxa"/>
            <w:shd w:val="clear" w:color="auto" w:fill="auto"/>
          </w:tcPr>
          <w:p w14:paraId="3E3B0DD0" w14:textId="77777777" w:rsidR="00FF7F38" w:rsidRPr="00D525A4" w:rsidRDefault="00FF7F38" w:rsidP="00B11DA4">
            <w:pPr>
              <w:pStyle w:val="Tabletext"/>
            </w:pPr>
          </w:p>
          <w:p w14:paraId="7A8DAB71" w14:textId="77777777" w:rsidR="00FF7F38" w:rsidRPr="00D525A4" w:rsidRDefault="00FF7F38" w:rsidP="00B11DA4">
            <w:pPr>
              <w:pStyle w:val="Tabletext"/>
            </w:pPr>
          </w:p>
        </w:tc>
      </w:tr>
    </w:tbl>
    <w:p w14:paraId="4AF3707B"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D525A4" w14:paraId="3F59C353" w14:textId="77777777" w:rsidTr="00B11DA4">
        <w:tc>
          <w:tcPr>
            <w:tcW w:w="8313" w:type="dxa"/>
            <w:shd w:val="clear" w:color="auto" w:fill="000000" w:themeFill="text1"/>
          </w:tcPr>
          <w:p w14:paraId="782F082E" w14:textId="77777777" w:rsidR="00FF7F38" w:rsidRPr="00D525A4" w:rsidRDefault="00FF7F38" w:rsidP="002F4595">
            <w:pPr>
              <w:pStyle w:val="TableHeading"/>
            </w:pPr>
            <w:r w:rsidRPr="00D525A4">
              <w:t>Commencement date of the keep open notice</w:t>
            </w:r>
          </w:p>
        </w:tc>
      </w:tr>
      <w:tr w:rsidR="00FF7F38" w:rsidRPr="00D525A4" w14:paraId="60015C41" w14:textId="77777777" w:rsidTr="00B11DA4">
        <w:tc>
          <w:tcPr>
            <w:tcW w:w="8313" w:type="dxa"/>
            <w:shd w:val="clear" w:color="auto" w:fill="auto"/>
          </w:tcPr>
          <w:p w14:paraId="71A70F4E" w14:textId="77777777" w:rsidR="00FF7F38" w:rsidRPr="00D525A4" w:rsidRDefault="00FF7F38" w:rsidP="00B11DA4">
            <w:pPr>
              <w:pStyle w:val="Tabletext"/>
            </w:pPr>
          </w:p>
          <w:p w14:paraId="31032078" w14:textId="77777777" w:rsidR="00FF7F38" w:rsidRPr="00D525A4" w:rsidRDefault="00FF7F38" w:rsidP="00B11DA4">
            <w:pPr>
              <w:pStyle w:val="Tabletext"/>
            </w:pPr>
          </w:p>
        </w:tc>
      </w:tr>
    </w:tbl>
    <w:p w14:paraId="2F3D2073"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D525A4" w14:paraId="320A2B56" w14:textId="77777777" w:rsidTr="00B11DA4">
        <w:tc>
          <w:tcPr>
            <w:tcW w:w="8313" w:type="dxa"/>
            <w:shd w:val="clear" w:color="auto" w:fill="000000" w:themeFill="text1"/>
          </w:tcPr>
          <w:p w14:paraId="5712B8C3" w14:textId="77777777" w:rsidR="00FF7F38" w:rsidRPr="00D525A4" w:rsidRDefault="00FF7F38" w:rsidP="002F4595">
            <w:pPr>
              <w:pStyle w:val="TableHeading"/>
            </w:pPr>
            <w:r w:rsidRPr="00D525A4">
              <w:lastRenderedPageBreak/>
              <w:t>Commencement date of the extension period</w:t>
            </w:r>
          </w:p>
          <w:p w14:paraId="06FD9AF2" w14:textId="05432E89" w:rsidR="00530F80" w:rsidRPr="00D525A4" w:rsidRDefault="00FF7F38" w:rsidP="00530F80">
            <w:pPr>
              <w:pStyle w:val="Tablea"/>
              <w:rPr>
                <w:i/>
              </w:rPr>
            </w:pPr>
            <w:r w:rsidRPr="00D525A4">
              <w:rPr>
                <w:i/>
              </w:rPr>
              <w:t>[</w:t>
            </w:r>
            <w:bookmarkStart w:id="194" w:name="_Hlk183504471"/>
            <w:r w:rsidRPr="00D525A4">
              <w:rPr>
                <w:i/>
              </w:rPr>
              <w:t xml:space="preserve">State the date that is </w:t>
            </w:r>
            <w:r w:rsidR="00DC2B2A" w:rsidRPr="00D525A4">
              <w:rPr>
                <w:i/>
              </w:rPr>
              <w:t xml:space="preserve">the </w:t>
            </w:r>
            <w:r w:rsidR="00DF2092" w:rsidRPr="00D525A4">
              <w:rPr>
                <w:i/>
              </w:rPr>
              <w:t>day</w:t>
            </w:r>
            <w:r w:rsidR="005B121C" w:rsidRPr="00D525A4">
              <w:rPr>
                <w:i/>
              </w:rPr>
              <w:t xml:space="preserve"> </w:t>
            </w:r>
            <w:r w:rsidR="000F7C3A" w:rsidRPr="00D525A4">
              <w:rPr>
                <w:i/>
              </w:rPr>
              <w:t xml:space="preserve">after the </w:t>
            </w:r>
            <w:r w:rsidR="00CD45FC" w:rsidRPr="00D525A4">
              <w:rPr>
                <w:i/>
              </w:rPr>
              <w:t>expiry of</w:t>
            </w:r>
            <w:r w:rsidR="00EE02CA" w:rsidRPr="00D525A4">
              <w:rPr>
                <w:i/>
              </w:rPr>
              <w:t xml:space="preserve"> the following (as applicable)</w:t>
            </w:r>
            <w:r w:rsidR="00530F80" w:rsidRPr="00D525A4">
              <w:rPr>
                <w:i/>
              </w:rPr>
              <w:t>:</w:t>
            </w:r>
          </w:p>
          <w:p w14:paraId="4764CDE0" w14:textId="7AB010A2" w:rsidR="00530F80" w:rsidRPr="00D525A4" w:rsidRDefault="00530F80" w:rsidP="00530F80">
            <w:pPr>
              <w:pStyle w:val="Tablea"/>
              <w:rPr>
                <w:i/>
              </w:rPr>
            </w:pPr>
            <w:r w:rsidRPr="00D525A4">
              <w:rPr>
                <w:i/>
              </w:rPr>
              <w:t>(a) the keep open notice;</w:t>
            </w:r>
          </w:p>
          <w:p w14:paraId="0446FAA4" w14:textId="6CB6F064" w:rsidR="00FF7F38" w:rsidRPr="00D525A4" w:rsidRDefault="00530F80" w:rsidP="00530F80">
            <w:pPr>
              <w:pStyle w:val="Tablea"/>
              <w:rPr>
                <w:i/>
              </w:rPr>
            </w:pPr>
            <w:r w:rsidRPr="00D525A4">
              <w:rPr>
                <w:i/>
              </w:rPr>
              <w:t xml:space="preserve">(b) the </w:t>
            </w:r>
            <w:r w:rsidR="00EE02CA" w:rsidRPr="00D525A4">
              <w:rPr>
                <w:i/>
              </w:rPr>
              <w:t xml:space="preserve">previous </w:t>
            </w:r>
            <w:r w:rsidRPr="00D525A4">
              <w:rPr>
                <w:i/>
              </w:rPr>
              <w:t>extension period.</w:t>
            </w:r>
            <w:bookmarkEnd w:id="194"/>
            <w:r w:rsidR="00FF7F38" w:rsidRPr="00D525A4">
              <w:rPr>
                <w:i/>
              </w:rPr>
              <w:t>]</w:t>
            </w:r>
          </w:p>
        </w:tc>
      </w:tr>
      <w:tr w:rsidR="00FF7F38" w:rsidRPr="00D525A4" w14:paraId="27391A5A" w14:textId="77777777" w:rsidTr="00B11DA4">
        <w:tc>
          <w:tcPr>
            <w:tcW w:w="8313" w:type="dxa"/>
            <w:shd w:val="clear" w:color="auto" w:fill="auto"/>
          </w:tcPr>
          <w:p w14:paraId="4B2D6034" w14:textId="77777777" w:rsidR="00FF7F38" w:rsidRPr="00D525A4" w:rsidRDefault="00FF7F38" w:rsidP="00B11DA4">
            <w:pPr>
              <w:pStyle w:val="Tabletext"/>
            </w:pPr>
          </w:p>
          <w:p w14:paraId="26D07C31" w14:textId="77777777" w:rsidR="00FF7F38" w:rsidRPr="00D525A4" w:rsidRDefault="00FF7F38" w:rsidP="00B11DA4">
            <w:pPr>
              <w:pStyle w:val="Tabletext"/>
            </w:pPr>
          </w:p>
        </w:tc>
      </w:tr>
    </w:tbl>
    <w:p w14:paraId="49E091FF"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157"/>
      </w:tblGrid>
      <w:tr w:rsidR="00FF7F38" w:rsidRPr="00D525A4" w14:paraId="0B3450F7" w14:textId="77777777" w:rsidTr="00B11DA4">
        <w:tc>
          <w:tcPr>
            <w:tcW w:w="8313" w:type="dxa"/>
            <w:gridSpan w:val="2"/>
            <w:shd w:val="clear" w:color="auto" w:fill="000000" w:themeFill="text1"/>
          </w:tcPr>
          <w:p w14:paraId="474DB562" w14:textId="77777777" w:rsidR="00FF7F38" w:rsidRPr="00D525A4" w:rsidRDefault="00FF7F38" w:rsidP="002F4595">
            <w:pPr>
              <w:pStyle w:val="TableHeading"/>
            </w:pPr>
            <w:r w:rsidRPr="00D525A4">
              <w:t>Previous extension notices (if any) issued in relation to the keep open notice</w:t>
            </w:r>
          </w:p>
        </w:tc>
      </w:tr>
      <w:tr w:rsidR="00FF7F38" w:rsidRPr="00D525A4" w14:paraId="2F41BD21" w14:textId="77777777" w:rsidTr="00B11DA4">
        <w:tc>
          <w:tcPr>
            <w:tcW w:w="4156" w:type="dxa"/>
            <w:shd w:val="clear" w:color="auto" w:fill="auto"/>
          </w:tcPr>
          <w:p w14:paraId="7112B778" w14:textId="77777777" w:rsidR="00FF7F38" w:rsidRPr="00D525A4" w:rsidRDefault="00FF7F38" w:rsidP="00B11DA4">
            <w:pPr>
              <w:pStyle w:val="Tabletext"/>
            </w:pPr>
            <w:r w:rsidRPr="00D525A4">
              <w:t>Have any extension notices previously been issued in relation to the keep open notice?</w:t>
            </w:r>
          </w:p>
          <w:p w14:paraId="76156915" w14:textId="77777777" w:rsidR="00FF7F38" w:rsidRPr="00D525A4" w:rsidRDefault="00FF7F38" w:rsidP="00B11DA4">
            <w:pPr>
              <w:pStyle w:val="Tabletext"/>
            </w:pPr>
          </w:p>
        </w:tc>
        <w:tc>
          <w:tcPr>
            <w:tcW w:w="4157" w:type="dxa"/>
            <w:shd w:val="clear" w:color="auto" w:fill="auto"/>
          </w:tcPr>
          <w:p w14:paraId="2E6D3973" w14:textId="77777777" w:rsidR="00FF7F38" w:rsidRPr="00D525A4" w:rsidRDefault="00FF7F38" w:rsidP="00B11DA4">
            <w:pPr>
              <w:pStyle w:val="Tabletext"/>
            </w:pPr>
          </w:p>
        </w:tc>
      </w:tr>
      <w:tr w:rsidR="00FF7F38" w:rsidRPr="00D525A4" w14:paraId="7738DD45" w14:textId="77777777" w:rsidTr="00B11DA4">
        <w:tc>
          <w:tcPr>
            <w:tcW w:w="4156" w:type="dxa"/>
            <w:shd w:val="clear" w:color="auto" w:fill="auto"/>
          </w:tcPr>
          <w:p w14:paraId="0801785A" w14:textId="77777777" w:rsidR="00FF7F38" w:rsidRPr="00D525A4" w:rsidRDefault="00FF7F38" w:rsidP="00B11DA4">
            <w:pPr>
              <w:pStyle w:val="Tabletext"/>
            </w:pPr>
            <w:r w:rsidRPr="00D525A4">
              <w:t>How many extension notices have been issued prior to this extension notice?</w:t>
            </w:r>
          </w:p>
          <w:p w14:paraId="3B72D49C" w14:textId="77777777" w:rsidR="00FF7F38" w:rsidRPr="00D525A4" w:rsidRDefault="00FF7F38" w:rsidP="00B11DA4">
            <w:pPr>
              <w:pStyle w:val="Tabletext"/>
            </w:pPr>
          </w:p>
        </w:tc>
        <w:tc>
          <w:tcPr>
            <w:tcW w:w="4157" w:type="dxa"/>
            <w:shd w:val="clear" w:color="auto" w:fill="auto"/>
          </w:tcPr>
          <w:p w14:paraId="3F533C30" w14:textId="77777777" w:rsidR="00FF7F38" w:rsidRPr="00D525A4" w:rsidRDefault="00FF7F38" w:rsidP="00B11DA4">
            <w:pPr>
              <w:pStyle w:val="Tabletext"/>
            </w:pPr>
          </w:p>
        </w:tc>
      </w:tr>
    </w:tbl>
    <w:p w14:paraId="5B8D861E"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157"/>
      </w:tblGrid>
      <w:tr w:rsidR="00E61142" w:rsidRPr="00D525A4" w14:paraId="60AE9486" w14:textId="77777777" w:rsidTr="006A424B">
        <w:tc>
          <w:tcPr>
            <w:tcW w:w="8313" w:type="dxa"/>
            <w:gridSpan w:val="2"/>
            <w:shd w:val="clear" w:color="auto" w:fill="000000" w:themeFill="text1"/>
          </w:tcPr>
          <w:p w14:paraId="18CC237B" w14:textId="77777777" w:rsidR="00E61142" w:rsidRPr="00D525A4" w:rsidRDefault="00E61142" w:rsidP="006A424B">
            <w:pPr>
              <w:pStyle w:val="TableHeading"/>
            </w:pPr>
            <w:r w:rsidRPr="00D525A4">
              <w:t>Details of the customer(s) to whom the keep open notice applies</w:t>
            </w:r>
          </w:p>
          <w:p w14:paraId="6A79E0B6" w14:textId="77777777" w:rsidR="00E61142" w:rsidRPr="00D525A4" w:rsidRDefault="00E61142" w:rsidP="006A424B">
            <w:pPr>
              <w:pStyle w:val="Tablea"/>
              <w:rPr>
                <w:i/>
              </w:rPr>
            </w:pPr>
            <w:r w:rsidRPr="00D525A4">
              <w:rPr>
                <w:i/>
              </w:rPr>
              <w:t>[List all customers included in the keep open notice]</w:t>
            </w:r>
          </w:p>
        </w:tc>
      </w:tr>
      <w:tr w:rsidR="00E61142" w:rsidRPr="00D525A4" w14:paraId="12ACEE1A" w14:textId="77777777" w:rsidTr="006A424B">
        <w:tc>
          <w:tcPr>
            <w:tcW w:w="4156" w:type="dxa"/>
            <w:shd w:val="clear" w:color="auto" w:fill="auto"/>
          </w:tcPr>
          <w:p w14:paraId="2484B824" w14:textId="77777777" w:rsidR="00E61142" w:rsidRPr="00D525A4" w:rsidRDefault="00E61142" w:rsidP="006A424B">
            <w:pPr>
              <w:pStyle w:val="Tabletext"/>
              <w:rPr>
                <w:b/>
              </w:rPr>
            </w:pPr>
            <w:r w:rsidRPr="00D525A4">
              <w:rPr>
                <w:b/>
              </w:rPr>
              <w:t>Full name of customer(s)</w:t>
            </w:r>
          </w:p>
        </w:tc>
        <w:tc>
          <w:tcPr>
            <w:tcW w:w="4157" w:type="dxa"/>
            <w:shd w:val="clear" w:color="auto" w:fill="auto"/>
          </w:tcPr>
          <w:p w14:paraId="1299004B" w14:textId="77777777" w:rsidR="00E61142" w:rsidRPr="00D525A4" w:rsidRDefault="00E61142" w:rsidP="006A424B">
            <w:pPr>
              <w:pStyle w:val="Tabletext"/>
              <w:rPr>
                <w:b/>
              </w:rPr>
            </w:pPr>
            <w:r w:rsidRPr="00D525A4">
              <w:rPr>
                <w:b/>
              </w:rPr>
              <w:t>Date of birth or Australian Business Number/Australian Company Number (if known)</w:t>
            </w:r>
          </w:p>
        </w:tc>
      </w:tr>
      <w:tr w:rsidR="00E61142" w:rsidRPr="00D525A4" w14:paraId="70AA801D" w14:textId="77777777" w:rsidTr="006A424B">
        <w:tc>
          <w:tcPr>
            <w:tcW w:w="4156" w:type="dxa"/>
            <w:shd w:val="clear" w:color="auto" w:fill="auto"/>
          </w:tcPr>
          <w:p w14:paraId="0F371F69" w14:textId="77777777" w:rsidR="00E61142" w:rsidRPr="00D525A4" w:rsidRDefault="00E61142" w:rsidP="006A424B">
            <w:pPr>
              <w:pStyle w:val="Tabletext"/>
            </w:pPr>
          </w:p>
        </w:tc>
        <w:tc>
          <w:tcPr>
            <w:tcW w:w="4157" w:type="dxa"/>
            <w:shd w:val="clear" w:color="auto" w:fill="auto"/>
          </w:tcPr>
          <w:p w14:paraId="50BCA8F4" w14:textId="77777777" w:rsidR="00E61142" w:rsidRPr="00D525A4" w:rsidRDefault="00E61142" w:rsidP="006A424B">
            <w:pPr>
              <w:pStyle w:val="Tabletext"/>
            </w:pPr>
          </w:p>
        </w:tc>
      </w:tr>
      <w:tr w:rsidR="00E61142" w:rsidRPr="00D525A4" w14:paraId="2A9394E8" w14:textId="77777777" w:rsidTr="006A424B">
        <w:tc>
          <w:tcPr>
            <w:tcW w:w="4156" w:type="dxa"/>
            <w:shd w:val="clear" w:color="auto" w:fill="auto"/>
          </w:tcPr>
          <w:p w14:paraId="5801D2D1" w14:textId="77777777" w:rsidR="00E61142" w:rsidRPr="00D525A4" w:rsidRDefault="00E61142" w:rsidP="006A424B">
            <w:pPr>
              <w:pStyle w:val="Tabletext"/>
            </w:pPr>
          </w:p>
        </w:tc>
        <w:tc>
          <w:tcPr>
            <w:tcW w:w="4157" w:type="dxa"/>
            <w:shd w:val="clear" w:color="auto" w:fill="auto"/>
          </w:tcPr>
          <w:p w14:paraId="5901868C" w14:textId="77777777" w:rsidR="00E61142" w:rsidRPr="00D525A4" w:rsidRDefault="00E61142" w:rsidP="006A424B">
            <w:pPr>
              <w:pStyle w:val="Tabletext"/>
            </w:pPr>
          </w:p>
        </w:tc>
      </w:tr>
      <w:tr w:rsidR="00E61142" w:rsidRPr="00D525A4" w14:paraId="2823C25F" w14:textId="77777777" w:rsidTr="006A424B">
        <w:tc>
          <w:tcPr>
            <w:tcW w:w="4156" w:type="dxa"/>
            <w:shd w:val="clear" w:color="auto" w:fill="auto"/>
          </w:tcPr>
          <w:p w14:paraId="7AC45F45" w14:textId="77777777" w:rsidR="00E61142" w:rsidRPr="00D525A4" w:rsidRDefault="00E61142" w:rsidP="006A424B">
            <w:pPr>
              <w:pStyle w:val="Tabletext"/>
            </w:pPr>
          </w:p>
        </w:tc>
        <w:tc>
          <w:tcPr>
            <w:tcW w:w="4157" w:type="dxa"/>
            <w:shd w:val="clear" w:color="auto" w:fill="auto"/>
          </w:tcPr>
          <w:p w14:paraId="5A87D5D9" w14:textId="77777777" w:rsidR="00E61142" w:rsidRPr="00D525A4" w:rsidRDefault="00E61142" w:rsidP="006A424B">
            <w:pPr>
              <w:pStyle w:val="Tabletext"/>
            </w:pPr>
          </w:p>
        </w:tc>
      </w:tr>
    </w:tbl>
    <w:p w14:paraId="29D1B198" w14:textId="77777777" w:rsidR="00E61142" w:rsidRPr="00D525A4" w:rsidRDefault="00E61142" w:rsidP="00FF7F38">
      <w:pPr>
        <w:pStyle w:val="Tabletext"/>
      </w:pPr>
    </w:p>
    <w:p w14:paraId="040ADD49" w14:textId="77777777" w:rsidR="00E61142" w:rsidRPr="00D525A4" w:rsidRDefault="00E61142"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24"/>
      </w:tblGrid>
      <w:tr w:rsidR="00FF7F38" w:rsidRPr="00D525A4" w14:paraId="5DDCB7F3" w14:textId="77777777" w:rsidTr="00B11DA4">
        <w:tc>
          <w:tcPr>
            <w:tcW w:w="8313" w:type="dxa"/>
            <w:gridSpan w:val="2"/>
            <w:shd w:val="clear" w:color="auto" w:fill="000000" w:themeFill="text1"/>
          </w:tcPr>
          <w:p w14:paraId="5F5F1605" w14:textId="77777777" w:rsidR="00FF7F38" w:rsidRPr="00D525A4" w:rsidRDefault="00FF7F38" w:rsidP="002F4595">
            <w:pPr>
              <w:pStyle w:val="TableHeading"/>
              <w:rPr>
                <w:i/>
              </w:rPr>
            </w:pPr>
            <w:r w:rsidRPr="00D525A4">
              <w:t>Details of senior member</w:t>
            </w:r>
          </w:p>
        </w:tc>
      </w:tr>
      <w:tr w:rsidR="00FF7F38" w:rsidRPr="00D525A4" w14:paraId="343B4EF8" w14:textId="77777777" w:rsidTr="00B11DA4">
        <w:tc>
          <w:tcPr>
            <w:tcW w:w="2689" w:type="dxa"/>
            <w:shd w:val="clear" w:color="auto" w:fill="auto"/>
          </w:tcPr>
          <w:p w14:paraId="7789C1F6" w14:textId="77777777" w:rsidR="00FF7F38" w:rsidRPr="00D525A4" w:rsidRDefault="00FF7F38" w:rsidP="00B11DA4">
            <w:pPr>
              <w:pStyle w:val="Tabletext"/>
            </w:pPr>
            <w:r w:rsidRPr="00D525A4">
              <w:t>Full name</w:t>
            </w:r>
          </w:p>
          <w:p w14:paraId="7AE2EEA7" w14:textId="77777777" w:rsidR="00FF7F38" w:rsidRPr="00D525A4" w:rsidRDefault="00FF7F38" w:rsidP="00B11DA4">
            <w:pPr>
              <w:pStyle w:val="Tabletext"/>
            </w:pPr>
          </w:p>
        </w:tc>
        <w:tc>
          <w:tcPr>
            <w:tcW w:w="5624" w:type="dxa"/>
            <w:shd w:val="clear" w:color="auto" w:fill="auto"/>
          </w:tcPr>
          <w:p w14:paraId="6EEA7945" w14:textId="77777777" w:rsidR="00FF7F38" w:rsidRPr="00D525A4" w:rsidRDefault="00FF7F38" w:rsidP="00B11DA4">
            <w:pPr>
              <w:pStyle w:val="Tabletext"/>
            </w:pPr>
          </w:p>
        </w:tc>
      </w:tr>
      <w:tr w:rsidR="00FF7F38" w:rsidRPr="00D525A4" w14:paraId="3577EF84" w14:textId="77777777" w:rsidTr="00B11DA4">
        <w:tc>
          <w:tcPr>
            <w:tcW w:w="2689" w:type="dxa"/>
            <w:shd w:val="clear" w:color="auto" w:fill="auto"/>
          </w:tcPr>
          <w:p w14:paraId="62514028" w14:textId="77777777" w:rsidR="00FF7F38" w:rsidRPr="00D525A4" w:rsidRDefault="00FF7F38" w:rsidP="00B11DA4">
            <w:pPr>
              <w:pStyle w:val="Tabletext"/>
            </w:pPr>
            <w:r w:rsidRPr="00D525A4">
              <w:t>Position</w:t>
            </w:r>
          </w:p>
          <w:p w14:paraId="621723FB" w14:textId="77777777" w:rsidR="00FF7F38" w:rsidRPr="00D525A4" w:rsidRDefault="00FF7F38" w:rsidP="00B11DA4">
            <w:pPr>
              <w:pStyle w:val="Tabletext"/>
            </w:pPr>
          </w:p>
        </w:tc>
        <w:tc>
          <w:tcPr>
            <w:tcW w:w="5624" w:type="dxa"/>
            <w:shd w:val="clear" w:color="auto" w:fill="auto"/>
          </w:tcPr>
          <w:p w14:paraId="2CCC5224" w14:textId="77777777" w:rsidR="00FF7F38" w:rsidRPr="00D525A4" w:rsidRDefault="00FF7F38" w:rsidP="00B11DA4">
            <w:pPr>
              <w:pStyle w:val="Tabletext"/>
            </w:pPr>
          </w:p>
        </w:tc>
      </w:tr>
      <w:tr w:rsidR="00FF7F38" w:rsidRPr="00D525A4" w14:paraId="66CCF176" w14:textId="77777777" w:rsidTr="00B11DA4">
        <w:tc>
          <w:tcPr>
            <w:tcW w:w="2689" w:type="dxa"/>
            <w:shd w:val="clear" w:color="auto" w:fill="auto"/>
          </w:tcPr>
          <w:p w14:paraId="552C7CE2" w14:textId="77777777" w:rsidR="00FF7F38" w:rsidRPr="00D525A4" w:rsidRDefault="00FF7F38" w:rsidP="00B11DA4">
            <w:pPr>
              <w:pStyle w:val="Tabletext"/>
            </w:pPr>
            <w:r w:rsidRPr="00D525A4">
              <w:t>Agency</w:t>
            </w:r>
          </w:p>
          <w:p w14:paraId="26BFD374" w14:textId="77777777" w:rsidR="00FF7F38" w:rsidRPr="00D525A4" w:rsidRDefault="00FF7F38" w:rsidP="00B11DA4">
            <w:pPr>
              <w:pStyle w:val="Tabletext"/>
            </w:pPr>
          </w:p>
        </w:tc>
        <w:tc>
          <w:tcPr>
            <w:tcW w:w="5624" w:type="dxa"/>
            <w:shd w:val="clear" w:color="auto" w:fill="auto"/>
          </w:tcPr>
          <w:p w14:paraId="281FCB74" w14:textId="77777777" w:rsidR="00FF7F38" w:rsidRPr="00D525A4" w:rsidRDefault="00FF7F38" w:rsidP="00B11DA4">
            <w:pPr>
              <w:pStyle w:val="Tabletext"/>
            </w:pPr>
          </w:p>
        </w:tc>
      </w:tr>
    </w:tbl>
    <w:p w14:paraId="5F583147"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D525A4" w14:paraId="7A4770BF" w14:textId="77777777" w:rsidTr="00B11DA4">
        <w:tc>
          <w:tcPr>
            <w:tcW w:w="8313" w:type="dxa"/>
            <w:shd w:val="clear" w:color="auto" w:fill="000000" w:themeFill="text1"/>
          </w:tcPr>
          <w:p w14:paraId="556762D5" w14:textId="77777777" w:rsidR="00FF7F38" w:rsidRPr="00D525A4" w:rsidRDefault="00FF7F38" w:rsidP="002F4595">
            <w:pPr>
              <w:pStyle w:val="TableHeading"/>
              <w:rPr>
                <w:i/>
                <w:color w:val="FFFFFF" w:themeColor="background1"/>
              </w:rPr>
            </w:pPr>
            <w:r w:rsidRPr="00D525A4">
              <w:t>Declaration</w:t>
            </w:r>
          </w:p>
        </w:tc>
      </w:tr>
    </w:tbl>
    <w:p w14:paraId="21BD5AC1" w14:textId="77777777" w:rsidR="00FF7F38" w:rsidRPr="00D525A4" w:rsidRDefault="00FF7F38" w:rsidP="00FF7F38">
      <w:pPr>
        <w:pStyle w:val="Tabletext"/>
      </w:pPr>
    </w:p>
    <w:p w14:paraId="784F7241" w14:textId="77777777" w:rsidR="00FF7F38" w:rsidRPr="00D525A4" w:rsidRDefault="00FF7F38" w:rsidP="00FF7F38">
      <w:pPr>
        <w:pStyle w:val="Tabletext"/>
      </w:pPr>
      <w:r w:rsidRPr="00D525A4">
        <w:rPr>
          <w:b/>
          <w:color w:val="000000"/>
        </w:rPr>
        <w:t>I am the senior member specified above and reasonably believe that the continued provision of a designated service by the reporting entity to the customer(s) specified in this extension notice would assist in the investigation by the agency of a serious offence.</w:t>
      </w:r>
    </w:p>
    <w:p w14:paraId="1ADF2725" w14:textId="77777777" w:rsidR="00FF7F38" w:rsidRPr="00D525A4" w:rsidRDefault="00FF7F38" w:rsidP="00FF7F38">
      <w:pPr>
        <w:pStyle w:val="Tabletext"/>
      </w:pPr>
    </w:p>
    <w:tbl>
      <w:tblPr>
        <w:tblW w:w="5000" w:type="pct"/>
        <w:tblLook w:val="0000" w:firstRow="0" w:lastRow="0" w:firstColumn="0" w:lastColumn="0" w:noHBand="0" w:noVBand="0"/>
      </w:tblPr>
      <w:tblGrid>
        <w:gridCol w:w="5363"/>
        <w:gridCol w:w="273"/>
        <w:gridCol w:w="2677"/>
      </w:tblGrid>
      <w:tr w:rsidR="00FF7F38" w:rsidRPr="00D525A4" w14:paraId="1F1FB528" w14:textId="77777777" w:rsidTr="00B11DA4">
        <w:trPr>
          <w:cantSplit/>
        </w:trPr>
        <w:tc>
          <w:tcPr>
            <w:tcW w:w="3226" w:type="pct"/>
          </w:tcPr>
          <w:p w14:paraId="7DED6FE8" w14:textId="77777777" w:rsidR="00FF7F38" w:rsidRPr="00D525A4" w:rsidRDefault="00FF7F38" w:rsidP="00B11DA4">
            <w:pPr>
              <w:pStyle w:val="Tabletext"/>
            </w:pPr>
            <w:r w:rsidRPr="00D525A4">
              <w:t>Signed</w:t>
            </w:r>
          </w:p>
        </w:tc>
        <w:tc>
          <w:tcPr>
            <w:tcW w:w="164" w:type="pct"/>
          </w:tcPr>
          <w:p w14:paraId="18EB23B3" w14:textId="77777777" w:rsidR="00FF7F38" w:rsidRPr="00D525A4" w:rsidRDefault="00FF7F38" w:rsidP="00B11DA4">
            <w:pPr>
              <w:tabs>
                <w:tab w:val="left" w:pos="3435"/>
              </w:tabs>
              <w:rPr>
                <w:sz w:val="18"/>
              </w:rPr>
            </w:pPr>
          </w:p>
        </w:tc>
        <w:tc>
          <w:tcPr>
            <w:tcW w:w="1610" w:type="pct"/>
          </w:tcPr>
          <w:p w14:paraId="0FC54CCB" w14:textId="77777777" w:rsidR="00FF7F38" w:rsidRPr="00D525A4" w:rsidRDefault="00FF7F38" w:rsidP="00B11DA4">
            <w:pPr>
              <w:pStyle w:val="Tabletext"/>
            </w:pPr>
            <w:r w:rsidRPr="00D525A4">
              <w:t>Date</w:t>
            </w:r>
          </w:p>
        </w:tc>
      </w:tr>
      <w:tr w:rsidR="00FF7F38" w:rsidRPr="00D525A4" w14:paraId="3D16D44D" w14:textId="77777777" w:rsidTr="00B11DA4">
        <w:trPr>
          <w:cantSplit/>
        </w:trPr>
        <w:tc>
          <w:tcPr>
            <w:tcW w:w="3226" w:type="pct"/>
            <w:tcBorders>
              <w:top w:val="single" w:sz="4" w:space="0" w:color="auto"/>
              <w:left w:val="single" w:sz="4" w:space="0" w:color="auto"/>
              <w:bottom w:val="single" w:sz="4" w:space="0" w:color="auto"/>
              <w:right w:val="single" w:sz="4" w:space="0" w:color="auto"/>
            </w:tcBorders>
          </w:tcPr>
          <w:p w14:paraId="1E7575DB" w14:textId="77777777" w:rsidR="00FF7F38" w:rsidRPr="00D525A4" w:rsidRDefault="00FF7F38" w:rsidP="00B11DA4">
            <w:pPr>
              <w:spacing w:line="240" w:lineRule="auto"/>
              <w:rPr>
                <w:sz w:val="18"/>
              </w:rPr>
            </w:pPr>
          </w:p>
          <w:p w14:paraId="1B37207D" w14:textId="77777777" w:rsidR="00FF7F38" w:rsidRPr="00D525A4" w:rsidRDefault="00FF7F38" w:rsidP="00B11DA4">
            <w:pPr>
              <w:spacing w:line="240" w:lineRule="auto"/>
              <w:rPr>
                <w:sz w:val="18"/>
              </w:rPr>
            </w:pPr>
          </w:p>
          <w:p w14:paraId="2CE60B4A" w14:textId="77777777" w:rsidR="00FF7F38" w:rsidRPr="00D525A4" w:rsidRDefault="00FF7F38" w:rsidP="00B11DA4">
            <w:pPr>
              <w:spacing w:line="240" w:lineRule="auto"/>
              <w:rPr>
                <w:sz w:val="18"/>
              </w:rPr>
            </w:pPr>
          </w:p>
        </w:tc>
        <w:tc>
          <w:tcPr>
            <w:tcW w:w="164" w:type="pct"/>
            <w:tcBorders>
              <w:right w:val="single" w:sz="4" w:space="0" w:color="auto"/>
            </w:tcBorders>
          </w:tcPr>
          <w:p w14:paraId="104BF259" w14:textId="77777777" w:rsidR="00FF7F38" w:rsidRPr="00D525A4" w:rsidRDefault="00FF7F38" w:rsidP="00B11DA4">
            <w:pPr>
              <w:tabs>
                <w:tab w:val="left" w:pos="3435"/>
              </w:tabs>
              <w:rPr>
                <w:sz w:val="18"/>
              </w:rPr>
            </w:pPr>
          </w:p>
        </w:tc>
        <w:tc>
          <w:tcPr>
            <w:tcW w:w="1610" w:type="pct"/>
            <w:tcBorders>
              <w:top w:val="single" w:sz="4" w:space="0" w:color="auto"/>
              <w:bottom w:val="single" w:sz="4" w:space="0" w:color="auto"/>
              <w:right w:val="single" w:sz="4" w:space="0" w:color="auto"/>
            </w:tcBorders>
          </w:tcPr>
          <w:p w14:paraId="4C9CF95A" w14:textId="77777777" w:rsidR="00FF7F38" w:rsidRPr="00D525A4" w:rsidRDefault="00FF7F38" w:rsidP="00B11DA4">
            <w:pPr>
              <w:tabs>
                <w:tab w:val="left" w:pos="3435"/>
              </w:tabs>
              <w:rPr>
                <w:sz w:val="18"/>
              </w:rPr>
            </w:pPr>
          </w:p>
        </w:tc>
      </w:tr>
    </w:tbl>
    <w:p w14:paraId="2FDB6950" w14:textId="54626D38" w:rsidR="00FF7F38" w:rsidRPr="00D525A4" w:rsidRDefault="00FF7F38" w:rsidP="00F01E1E">
      <w:pPr>
        <w:pStyle w:val="ActHead3"/>
        <w:pageBreakBefore/>
      </w:pPr>
      <w:bookmarkStart w:id="195" w:name="_Toc198225076"/>
      <w:r w:rsidRPr="00D525A4">
        <w:rPr>
          <w:rStyle w:val="CharDivNo"/>
        </w:rPr>
        <w:lastRenderedPageBreak/>
        <w:t>Form 3</w:t>
      </w:r>
      <w:r w:rsidRPr="00D525A4">
        <w:t>—</w:t>
      </w:r>
      <w:r w:rsidRPr="00D525A4">
        <w:rPr>
          <w:rStyle w:val="CharDivText"/>
        </w:rPr>
        <w:t>Application to issue extension notice</w:t>
      </w:r>
      <w:bookmarkEnd w:id="195"/>
    </w:p>
    <w:p w14:paraId="14E1A7D9" w14:textId="77777777" w:rsidR="00CF5E40" w:rsidRPr="00D525A4" w:rsidRDefault="00CF5E40" w:rsidP="00CF5E40">
      <w:pPr>
        <w:pStyle w:val="FreeForm"/>
      </w:pPr>
    </w:p>
    <w:p w14:paraId="0F63E5A7" w14:textId="62D15CCA" w:rsidR="00FF7F38" w:rsidRPr="00D525A4" w:rsidRDefault="00FF7F38" w:rsidP="00CF5E40">
      <w:pPr>
        <w:pStyle w:val="FreeForm"/>
        <w:rPr>
          <w:rFonts w:ascii="Times New Roman" w:hAnsi="Times New Roman" w:cs="Times New Roman"/>
          <w:b/>
          <w:bCs/>
          <w:sz w:val="24"/>
          <w:szCs w:val="24"/>
        </w:rPr>
      </w:pPr>
      <w:r w:rsidRPr="00D525A4">
        <w:rPr>
          <w:rFonts w:ascii="Times New Roman" w:hAnsi="Times New Roman" w:cs="Times New Roman"/>
          <w:b/>
          <w:bCs/>
          <w:sz w:val="24"/>
          <w:szCs w:val="24"/>
        </w:rPr>
        <w:t>APPLICATION TO ISSUE EXTENSION NOTICE TO FURTHER EXTEND THE PERIOD OF A KEEP OPEN NOTICE</w:t>
      </w:r>
    </w:p>
    <w:p w14:paraId="066DE501" w14:textId="238C35D6" w:rsidR="00FF7F38" w:rsidRPr="00D525A4" w:rsidRDefault="00606BBD" w:rsidP="00FF7F38">
      <w:pPr>
        <w:pStyle w:val="notemargin"/>
        <w:rPr>
          <w:i/>
        </w:rPr>
      </w:pPr>
      <w:r w:rsidRPr="00D525A4">
        <w:t>Paragraph 3</w:t>
      </w:r>
      <w:r w:rsidR="00FF7F38" w:rsidRPr="00D525A4">
        <w:t xml:space="preserve">9B(8)(b) of the </w:t>
      </w:r>
      <w:r w:rsidR="00FF7F38" w:rsidRPr="00D525A4">
        <w:rPr>
          <w:i/>
        </w:rPr>
        <w:t>Anti</w:t>
      </w:r>
      <w:r w:rsidR="00D525A4">
        <w:rPr>
          <w:i/>
        </w:rPr>
        <w:noBreakHyphen/>
      </w:r>
      <w:r w:rsidR="00FF7F38" w:rsidRPr="00D525A4">
        <w:rPr>
          <w:i/>
        </w:rPr>
        <w:t>Money Laundering and Counter</w:t>
      </w:r>
      <w:r w:rsidR="00D525A4">
        <w:rPr>
          <w:i/>
        </w:rPr>
        <w:noBreakHyphen/>
      </w:r>
      <w:r w:rsidR="00FF7F38" w:rsidRPr="00D525A4">
        <w:rPr>
          <w:i/>
        </w:rPr>
        <w:t>Terrorism Financing Act 2006</w:t>
      </w:r>
    </w:p>
    <w:p w14:paraId="40F706B8" w14:textId="77777777" w:rsidR="00FF7F38" w:rsidRPr="00D525A4" w:rsidRDefault="00FF7F38" w:rsidP="00FF7F38">
      <w:pPr>
        <w:pStyle w:val="Tabletext"/>
      </w:pPr>
    </w:p>
    <w:p w14:paraId="5FC992E3" w14:textId="14FD1930" w:rsidR="00FF7F38" w:rsidRPr="00D525A4" w:rsidRDefault="00FF7F38" w:rsidP="00FF7F38">
      <w:pPr>
        <w:pStyle w:val="Tabletext"/>
        <w:rPr>
          <w:color w:val="000000"/>
        </w:rPr>
      </w:pPr>
      <w:r w:rsidRPr="00D525A4">
        <w:rPr>
          <w:color w:val="000000"/>
        </w:rPr>
        <w:t xml:space="preserve">This is the prescribed form for an application to the AUSTRAC CEO under </w:t>
      </w:r>
      <w:r w:rsidR="0013261E" w:rsidRPr="00D525A4">
        <w:rPr>
          <w:color w:val="000000"/>
        </w:rPr>
        <w:t>paragraph 3</w:t>
      </w:r>
      <w:r w:rsidRPr="00D525A4">
        <w:rPr>
          <w:color w:val="000000"/>
        </w:rPr>
        <w:t xml:space="preserve">9B(8)(b) of the </w:t>
      </w:r>
      <w:r w:rsidRPr="00D525A4">
        <w:rPr>
          <w:i/>
          <w:color w:val="000000"/>
        </w:rPr>
        <w:t>Anti</w:t>
      </w:r>
      <w:r w:rsidR="00D525A4">
        <w:rPr>
          <w:i/>
          <w:color w:val="000000"/>
        </w:rPr>
        <w:noBreakHyphen/>
      </w:r>
      <w:r w:rsidRPr="00D525A4">
        <w:rPr>
          <w:i/>
          <w:color w:val="000000"/>
        </w:rPr>
        <w:t>Money Laundering and Counter</w:t>
      </w:r>
      <w:r w:rsidR="00D525A4">
        <w:rPr>
          <w:i/>
          <w:color w:val="000000"/>
        </w:rPr>
        <w:noBreakHyphen/>
      </w:r>
      <w:r w:rsidRPr="00D525A4">
        <w:rPr>
          <w:i/>
          <w:color w:val="000000"/>
        </w:rPr>
        <w:t xml:space="preserve">Terrorism Financing Act 2006 </w:t>
      </w:r>
      <w:r w:rsidRPr="00D525A4">
        <w:rPr>
          <w:color w:val="000000"/>
        </w:rPr>
        <w:t xml:space="preserve">(the AML/CTF Act) to disapply </w:t>
      </w:r>
      <w:r w:rsidR="0013261E" w:rsidRPr="00D525A4">
        <w:rPr>
          <w:color w:val="000000"/>
        </w:rPr>
        <w:t>paragraph 3</w:t>
      </w:r>
      <w:r w:rsidRPr="00D525A4">
        <w:rPr>
          <w:color w:val="000000"/>
        </w:rPr>
        <w:t>9B(7)(b) of that Act for the purpose of issuing a further extension notice in relation to a keep open notice.</w:t>
      </w:r>
    </w:p>
    <w:p w14:paraId="53150AB2"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D525A4" w14:paraId="113263EF" w14:textId="77777777" w:rsidTr="00B11DA4">
        <w:tc>
          <w:tcPr>
            <w:tcW w:w="8313" w:type="dxa"/>
            <w:shd w:val="clear" w:color="auto" w:fill="000000" w:themeFill="text1"/>
          </w:tcPr>
          <w:p w14:paraId="69482EA5" w14:textId="77777777" w:rsidR="00FF7F38" w:rsidRPr="00D525A4" w:rsidRDefault="00FF7F38" w:rsidP="002F4595">
            <w:pPr>
              <w:pStyle w:val="TableHeading"/>
            </w:pPr>
            <w:r w:rsidRPr="00D525A4">
              <w:t>Full name of reporting entity to whom the keep open notice was issued</w:t>
            </w:r>
          </w:p>
        </w:tc>
      </w:tr>
      <w:tr w:rsidR="00FF7F38" w:rsidRPr="00D525A4" w14:paraId="24AE4346" w14:textId="77777777" w:rsidTr="00B11DA4">
        <w:tc>
          <w:tcPr>
            <w:tcW w:w="8313" w:type="dxa"/>
            <w:shd w:val="clear" w:color="auto" w:fill="auto"/>
          </w:tcPr>
          <w:p w14:paraId="55308231" w14:textId="77777777" w:rsidR="00FF7F38" w:rsidRPr="00D525A4" w:rsidRDefault="00FF7F38" w:rsidP="00B11DA4">
            <w:pPr>
              <w:pStyle w:val="Tabletext"/>
            </w:pPr>
          </w:p>
          <w:p w14:paraId="40FF7EBF" w14:textId="77777777" w:rsidR="00FF7F38" w:rsidRPr="00D525A4" w:rsidRDefault="00FF7F38" w:rsidP="00B11DA4">
            <w:pPr>
              <w:pStyle w:val="Tabletext"/>
            </w:pPr>
          </w:p>
        </w:tc>
      </w:tr>
    </w:tbl>
    <w:p w14:paraId="4C579EC2"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D525A4" w14:paraId="35E0B2AF" w14:textId="77777777" w:rsidTr="00B11DA4">
        <w:tc>
          <w:tcPr>
            <w:tcW w:w="8313" w:type="dxa"/>
            <w:shd w:val="clear" w:color="auto" w:fill="000000" w:themeFill="text1"/>
          </w:tcPr>
          <w:p w14:paraId="58725982" w14:textId="77777777" w:rsidR="00FF7F38" w:rsidRPr="00D525A4" w:rsidRDefault="00FF7F38" w:rsidP="002F4595">
            <w:pPr>
              <w:pStyle w:val="TableHeading"/>
            </w:pPr>
            <w:r w:rsidRPr="00D525A4">
              <w:t>Commencement date of the keep open notice</w:t>
            </w:r>
          </w:p>
        </w:tc>
      </w:tr>
      <w:tr w:rsidR="00FF7F38" w:rsidRPr="00D525A4" w14:paraId="5BB8DD40" w14:textId="77777777" w:rsidTr="00B11DA4">
        <w:tc>
          <w:tcPr>
            <w:tcW w:w="8313" w:type="dxa"/>
            <w:shd w:val="clear" w:color="auto" w:fill="auto"/>
          </w:tcPr>
          <w:p w14:paraId="0833B0FB" w14:textId="77777777" w:rsidR="00FF7F38" w:rsidRPr="00D525A4" w:rsidRDefault="00FF7F38" w:rsidP="00B11DA4">
            <w:pPr>
              <w:pStyle w:val="Tabletext"/>
            </w:pPr>
          </w:p>
          <w:p w14:paraId="421932A6" w14:textId="77777777" w:rsidR="00FF7F38" w:rsidRPr="00D525A4" w:rsidRDefault="00FF7F38" w:rsidP="00B11DA4">
            <w:pPr>
              <w:pStyle w:val="Tabletext"/>
            </w:pPr>
          </w:p>
        </w:tc>
      </w:tr>
    </w:tbl>
    <w:p w14:paraId="5E0CBD02"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157"/>
      </w:tblGrid>
      <w:tr w:rsidR="00FF7F38" w:rsidRPr="00D525A4" w14:paraId="2A18C5AC" w14:textId="77777777" w:rsidTr="00B11DA4">
        <w:tc>
          <w:tcPr>
            <w:tcW w:w="8313" w:type="dxa"/>
            <w:gridSpan w:val="2"/>
            <w:shd w:val="clear" w:color="auto" w:fill="000000" w:themeFill="text1"/>
          </w:tcPr>
          <w:p w14:paraId="29BBF0FC" w14:textId="2070F538" w:rsidR="00FF7F38" w:rsidRPr="00D525A4" w:rsidRDefault="00FF7F38" w:rsidP="002F4595">
            <w:pPr>
              <w:pStyle w:val="TableHeading"/>
            </w:pPr>
            <w:r w:rsidRPr="00D525A4">
              <w:t xml:space="preserve">Previous extension notices issued under </w:t>
            </w:r>
            <w:r w:rsidR="00606BBD" w:rsidRPr="00D525A4">
              <w:t>sub</w:t>
            </w:r>
            <w:r w:rsidR="0013261E" w:rsidRPr="00D525A4">
              <w:t>section 3</w:t>
            </w:r>
            <w:r w:rsidRPr="00D525A4">
              <w:t>9B(7) of the AML/CTF Act</w:t>
            </w:r>
          </w:p>
        </w:tc>
      </w:tr>
      <w:tr w:rsidR="00FF7F38" w:rsidRPr="00D525A4" w14:paraId="74602A84" w14:textId="77777777" w:rsidTr="00B11DA4">
        <w:tc>
          <w:tcPr>
            <w:tcW w:w="4156" w:type="dxa"/>
            <w:shd w:val="clear" w:color="auto" w:fill="auto"/>
          </w:tcPr>
          <w:p w14:paraId="13640DF6" w14:textId="77777777" w:rsidR="00FF7F38" w:rsidRPr="00D525A4" w:rsidRDefault="00FF7F38" w:rsidP="00B11DA4">
            <w:pPr>
              <w:pStyle w:val="Tabletext"/>
            </w:pPr>
            <w:r w:rsidRPr="00D525A4">
              <w:t>How many extension notices have been issued in relation to the keep open notice prior to this application?</w:t>
            </w:r>
          </w:p>
          <w:p w14:paraId="00784BDF" w14:textId="77777777" w:rsidR="00FF7F38" w:rsidRPr="00D525A4" w:rsidRDefault="00FF7F38" w:rsidP="00B11DA4">
            <w:pPr>
              <w:pStyle w:val="Tabletext"/>
            </w:pPr>
          </w:p>
        </w:tc>
        <w:tc>
          <w:tcPr>
            <w:tcW w:w="4157" w:type="dxa"/>
            <w:shd w:val="clear" w:color="auto" w:fill="auto"/>
          </w:tcPr>
          <w:p w14:paraId="220351A7" w14:textId="77777777" w:rsidR="00FF7F38" w:rsidRPr="00D525A4" w:rsidRDefault="00FF7F38" w:rsidP="00B11DA4">
            <w:pPr>
              <w:pStyle w:val="Tabletext"/>
            </w:pPr>
          </w:p>
        </w:tc>
      </w:tr>
    </w:tbl>
    <w:p w14:paraId="284BEDCC"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157"/>
      </w:tblGrid>
      <w:tr w:rsidR="00FF7F38" w:rsidRPr="00D525A4" w14:paraId="6DC8CE78" w14:textId="77777777" w:rsidTr="00B11DA4">
        <w:tc>
          <w:tcPr>
            <w:tcW w:w="8313" w:type="dxa"/>
            <w:gridSpan w:val="2"/>
            <w:shd w:val="clear" w:color="auto" w:fill="000000" w:themeFill="text1"/>
          </w:tcPr>
          <w:p w14:paraId="03EE7345" w14:textId="77777777" w:rsidR="00FF7F38" w:rsidRPr="00D525A4" w:rsidRDefault="00FF7F38" w:rsidP="002F4595">
            <w:pPr>
              <w:pStyle w:val="TableHeading"/>
            </w:pPr>
            <w:r w:rsidRPr="00D525A4">
              <w:t>Previous applications to the AUSTRAC CEO</w:t>
            </w:r>
          </w:p>
        </w:tc>
      </w:tr>
      <w:tr w:rsidR="00FF7F38" w:rsidRPr="00D525A4" w14:paraId="1128F2E0" w14:textId="77777777" w:rsidTr="00B11DA4">
        <w:tc>
          <w:tcPr>
            <w:tcW w:w="4156" w:type="dxa"/>
            <w:shd w:val="clear" w:color="auto" w:fill="auto"/>
          </w:tcPr>
          <w:p w14:paraId="4BA5B878" w14:textId="24793F9B" w:rsidR="00FF7F38" w:rsidRPr="00D525A4" w:rsidRDefault="00FF7F38" w:rsidP="00B11DA4">
            <w:pPr>
              <w:pStyle w:val="Tabletext"/>
            </w:pPr>
            <w:r w:rsidRPr="00D525A4">
              <w:t xml:space="preserve">How many notices have been given by the AUSTRAC CEO under </w:t>
            </w:r>
            <w:r w:rsidR="0013261E" w:rsidRPr="00D525A4">
              <w:t>paragraph 3</w:t>
            </w:r>
            <w:r w:rsidRPr="00D525A4">
              <w:t>9B(8)(d) of the AML/CTF Act in relation to the keep open notice?</w:t>
            </w:r>
          </w:p>
        </w:tc>
        <w:tc>
          <w:tcPr>
            <w:tcW w:w="4157" w:type="dxa"/>
            <w:shd w:val="clear" w:color="auto" w:fill="auto"/>
          </w:tcPr>
          <w:p w14:paraId="2FA2BC92" w14:textId="77777777" w:rsidR="00FF7F38" w:rsidRPr="00D525A4" w:rsidRDefault="00FF7F38" w:rsidP="00B11DA4">
            <w:pPr>
              <w:pStyle w:val="Tabletext"/>
            </w:pPr>
          </w:p>
        </w:tc>
      </w:tr>
    </w:tbl>
    <w:p w14:paraId="6AFA39F0"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157"/>
      </w:tblGrid>
      <w:tr w:rsidR="00FF7F38" w:rsidRPr="00D525A4" w14:paraId="1F7C939C" w14:textId="77777777" w:rsidTr="00B11DA4">
        <w:tc>
          <w:tcPr>
            <w:tcW w:w="8313" w:type="dxa"/>
            <w:gridSpan w:val="2"/>
            <w:shd w:val="clear" w:color="auto" w:fill="000000" w:themeFill="text1"/>
          </w:tcPr>
          <w:p w14:paraId="1C8D9FBB" w14:textId="77777777" w:rsidR="00FF7F38" w:rsidRPr="00D525A4" w:rsidRDefault="00FF7F38" w:rsidP="002F4595">
            <w:pPr>
              <w:pStyle w:val="TableHeading"/>
            </w:pPr>
            <w:r w:rsidRPr="00D525A4">
              <w:t>Details of the customer(s) to whom the keep open notice applies</w:t>
            </w:r>
          </w:p>
          <w:p w14:paraId="00358003" w14:textId="77777777" w:rsidR="00FF7F38" w:rsidRPr="00D525A4" w:rsidRDefault="00FF7F38" w:rsidP="00B11DA4">
            <w:pPr>
              <w:pStyle w:val="Tablea"/>
              <w:rPr>
                <w:i/>
              </w:rPr>
            </w:pPr>
            <w:r w:rsidRPr="00D525A4">
              <w:rPr>
                <w:i/>
              </w:rPr>
              <w:t>List all customers included in the keep open notice</w:t>
            </w:r>
          </w:p>
        </w:tc>
      </w:tr>
      <w:tr w:rsidR="00FF7F38" w:rsidRPr="00D525A4" w14:paraId="2AFD684E" w14:textId="77777777" w:rsidTr="00B11DA4">
        <w:tc>
          <w:tcPr>
            <w:tcW w:w="4156" w:type="dxa"/>
            <w:shd w:val="clear" w:color="auto" w:fill="auto"/>
          </w:tcPr>
          <w:p w14:paraId="09379B12" w14:textId="77777777" w:rsidR="00FF7F38" w:rsidRPr="00D525A4" w:rsidRDefault="00FF7F38" w:rsidP="00B11DA4">
            <w:pPr>
              <w:pStyle w:val="Tabletext"/>
              <w:rPr>
                <w:b/>
              </w:rPr>
            </w:pPr>
            <w:r w:rsidRPr="00D525A4">
              <w:rPr>
                <w:b/>
              </w:rPr>
              <w:t>Full name of customer(s)</w:t>
            </w:r>
          </w:p>
        </w:tc>
        <w:tc>
          <w:tcPr>
            <w:tcW w:w="4157" w:type="dxa"/>
            <w:shd w:val="clear" w:color="auto" w:fill="auto"/>
          </w:tcPr>
          <w:p w14:paraId="3544C9C5" w14:textId="352696AB" w:rsidR="00FF7F38" w:rsidRPr="00D525A4" w:rsidRDefault="00FF7F38" w:rsidP="00B11DA4">
            <w:pPr>
              <w:pStyle w:val="Tabletext"/>
              <w:rPr>
                <w:b/>
              </w:rPr>
            </w:pPr>
            <w:r w:rsidRPr="00D525A4">
              <w:rPr>
                <w:b/>
              </w:rPr>
              <w:t>Date of birth or Australian Business Number/Australian Company Number (if known)</w:t>
            </w:r>
          </w:p>
        </w:tc>
      </w:tr>
      <w:tr w:rsidR="00FF7F38" w:rsidRPr="00D525A4" w14:paraId="70C9BC2C" w14:textId="77777777" w:rsidTr="00B11DA4">
        <w:tc>
          <w:tcPr>
            <w:tcW w:w="4156" w:type="dxa"/>
            <w:shd w:val="clear" w:color="auto" w:fill="auto"/>
          </w:tcPr>
          <w:p w14:paraId="569734BA" w14:textId="77777777" w:rsidR="00FF7F38" w:rsidRPr="00D525A4" w:rsidRDefault="00FF7F38" w:rsidP="00B11DA4">
            <w:pPr>
              <w:pStyle w:val="Tabletext"/>
            </w:pPr>
          </w:p>
        </w:tc>
        <w:tc>
          <w:tcPr>
            <w:tcW w:w="4157" w:type="dxa"/>
            <w:shd w:val="clear" w:color="auto" w:fill="auto"/>
          </w:tcPr>
          <w:p w14:paraId="01CEACD9" w14:textId="77777777" w:rsidR="00FF7F38" w:rsidRPr="00D525A4" w:rsidRDefault="00FF7F38" w:rsidP="00B11DA4">
            <w:pPr>
              <w:pStyle w:val="Tabletext"/>
            </w:pPr>
          </w:p>
        </w:tc>
      </w:tr>
      <w:tr w:rsidR="00FF7F38" w:rsidRPr="00D525A4" w14:paraId="4DD7D6BB" w14:textId="77777777" w:rsidTr="00B11DA4">
        <w:tc>
          <w:tcPr>
            <w:tcW w:w="4156" w:type="dxa"/>
            <w:shd w:val="clear" w:color="auto" w:fill="auto"/>
          </w:tcPr>
          <w:p w14:paraId="0644DECC" w14:textId="77777777" w:rsidR="00FF7F38" w:rsidRPr="00D525A4" w:rsidRDefault="00FF7F38" w:rsidP="00B11DA4">
            <w:pPr>
              <w:pStyle w:val="Tabletext"/>
            </w:pPr>
          </w:p>
        </w:tc>
        <w:tc>
          <w:tcPr>
            <w:tcW w:w="4157" w:type="dxa"/>
            <w:shd w:val="clear" w:color="auto" w:fill="auto"/>
          </w:tcPr>
          <w:p w14:paraId="1B23F76D" w14:textId="77777777" w:rsidR="00FF7F38" w:rsidRPr="00D525A4" w:rsidRDefault="00FF7F38" w:rsidP="00B11DA4">
            <w:pPr>
              <w:pStyle w:val="Tabletext"/>
            </w:pPr>
          </w:p>
        </w:tc>
      </w:tr>
      <w:tr w:rsidR="00FF7F38" w:rsidRPr="00D525A4" w14:paraId="2175EA9D" w14:textId="77777777" w:rsidTr="00B11DA4">
        <w:tc>
          <w:tcPr>
            <w:tcW w:w="4156" w:type="dxa"/>
            <w:shd w:val="clear" w:color="auto" w:fill="auto"/>
          </w:tcPr>
          <w:p w14:paraId="6C559E5F" w14:textId="77777777" w:rsidR="00FF7F38" w:rsidRPr="00D525A4" w:rsidRDefault="00FF7F38" w:rsidP="00B11DA4">
            <w:pPr>
              <w:pStyle w:val="Tabletext"/>
            </w:pPr>
          </w:p>
        </w:tc>
        <w:tc>
          <w:tcPr>
            <w:tcW w:w="4157" w:type="dxa"/>
            <w:shd w:val="clear" w:color="auto" w:fill="auto"/>
          </w:tcPr>
          <w:p w14:paraId="2BA98592" w14:textId="77777777" w:rsidR="00FF7F38" w:rsidRPr="00D525A4" w:rsidRDefault="00FF7F38" w:rsidP="00B11DA4">
            <w:pPr>
              <w:pStyle w:val="Tabletext"/>
            </w:pPr>
          </w:p>
        </w:tc>
      </w:tr>
    </w:tbl>
    <w:p w14:paraId="43B641D5"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D525A4" w14:paraId="54DB24F7" w14:textId="77777777" w:rsidTr="00B11DA4">
        <w:tc>
          <w:tcPr>
            <w:tcW w:w="8313" w:type="dxa"/>
            <w:shd w:val="clear" w:color="auto" w:fill="000000" w:themeFill="text1"/>
          </w:tcPr>
          <w:p w14:paraId="42085614" w14:textId="4B3EF7C1" w:rsidR="00FF7F38" w:rsidRPr="00D525A4" w:rsidRDefault="00FF7F38" w:rsidP="002F4595">
            <w:pPr>
              <w:pStyle w:val="TableHeading"/>
            </w:pPr>
            <w:r w:rsidRPr="00D525A4">
              <w:t xml:space="preserve">Reasons </w:t>
            </w:r>
            <w:r w:rsidR="0057338B" w:rsidRPr="00D525A4">
              <w:t xml:space="preserve">a </w:t>
            </w:r>
            <w:r w:rsidRPr="00D525A4">
              <w:t>f</w:t>
            </w:r>
            <w:r w:rsidR="0057338B" w:rsidRPr="00D525A4">
              <w:t>urther extension of the keep open notice is required</w:t>
            </w:r>
          </w:p>
        </w:tc>
      </w:tr>
      <w:tr w:rsidR="0057338B" w:rsidRPr="00D525A4" w14:paraId="509F6BBF" w14:textId="77777777" w:rsidTr="0062135A">
        <w:tc>
          <w:tcPr>
            <w:tcW w:w="8313" w:type="dxa"/>
            <w:shd w:val="clear" w:color="auto" w:fill="auto"/>
          </w:tcPr>
          <w:p w14:paraId="1F367B52" w14:textId="77777777" w:rsidR="0057338B" w:rsidRPr="00D525A4" w:rsidRDefault="0057338B" w:rsidP="00B11DA4">
            <w:pPr>
              <w:pStyle w:val="Tabletext"/>
              <w:rPr>
                <w:b/>
              </w:rPr>
            </w:pPr>
          </w:p>
          <w:p w14:paraId="59E8BCCA" w14:textId="77777777" w:rsidR="0057338B" w:rsidRPr="00D525A4" w:rsidRDefault="0057338B" w:rsidP="00B11DA4">
            <w:pPr>
              <w:pStyle w:val="Tabletext"/>
            </w:pPr>
          </w:p>
        </w:tc>
      </w:tr>
    </w:tbl>
    <w:p w14:paraId="683CC8FD"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57338B" w:rsidRPr="00D525A4" w14:paraId="59BA3A51" w14:textId="77777777" w:rsidTr="006A424B">
        <w:tc>
          <w:tcPr>
            <w:tcW w:w="8313" w:type="dxa"/>
            <w:shd w:val="clear" w:color="auto" w:fill="000000" w:themeFill="text1"/>
          </w:tcPr>
          <w:p w14:paraId="397BB421" w14:textId="34EF0FFD" w:rsidR="0057338B" w:rsidRPr="00D525A4" w:rsidRDefault="0057338B" w:rsidP="006A424B">
            <w:pPr>
              <w:pStyle w:val="TableHeading"/>
            </w:pPr>
            <w:r w:rsidRPr="00D525A4">
              <w:lastRenderedPageBreak/>
              <w:t>Serious offence(s) under investigation by the agency</w:t>
            </w:r>
          </w:p>
        </w:tc>
      </w:tr>
      <w:tr w:rsidR="0057338B" w:rsidRPr="00D525A4" w14:paraId="2F096E70" w14:textId="77777777" w:rsidTr="00720C25">
        <w:tc>
          <w:tcPr>
            <w:tcW w:w="8313" w:type="dxa"/>
            <w:shd w:val="clear" w:color="auto" w:fill="auto"/>
          </w:tcPr>
          <w:p w14:paraId="03280F3E" w14:textId="77777777" w:rsidR="0057338B" w:rsidRPr="00D525A4" w:rsidRDefault="0057338B" w:rsidP="006A424B">
            <w:pPr>
              <w:pStyle w:val="Tabletext"/>
              <w:rPr>
                <w:b/>
              </w:rPr>
            </w:pPr>
          </w:p>
          <w:p w14:paraId="35A5A721" w14:textId="77777777" w:rsidR="0057338B" w:rsidRPr="00D525A4" w:rsidRDefault="0057338B" w:rsidP="006A424B">
            <w:pPr>
              <w:pStyle w:val="Tabletext"/>
            </w:pPr>
          </w:p>
        </w:tc>
      </w:tr>
    </w:tbl>
    <w:p w14:paraId="2592496B" w14:textId="77777777" w:rsidR="0057338B" w:rsidRPr="00D525A4" w:rsidRDefault="0057338B"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24"/>
      </w:tblGrid>
      <w:tr w:rsidR="00FF7F38" w:rsidRPr="00D525A4" w14:paraId="77549ABE" w14:textId="77777777" w:rsidTr="00B11DA4">
        <w:tc>
          <w:tcPr>
            <w:tcW w:w="8313" w:type="dxa"/>
            <w:gridSpan w:val="2"/>
            <w:shd w:val="clear" w:color="auto" w:fill="000000" w:themeFill="text1"/>
          </w:tcPr>
          <w:p w14:paraId="7EF77BC8" w14:textId="77777777" w:rsidR="00FF7F38" w:rsidRPr="00D525A4" w:rsidRDefault="00FF7F38" w:rsidP="002F4595">
            <w:pPr>
              <w:pStyle w:val="TableHeading"/>
              <w:rPr>
                <w:i/>
              </w:rPr>
            </w:pPr>
            <w:r w:rsidRPr="00D525A4">
              <w:t>Details of senior member</w:t>
            </w:r>
          </w:p>
        </w:tc>
      </w:tr>
      <w:tr w:rsidR="00FF7F38" w:rsidRPr="00D525A4" w14:paraId="0BCE0DA1" w14:textId="77777777" w:rsidTr="00B11DA4">
        <w:tc>
          <w:tcPr>
            <w:tcW w:w="2689" w:type="dxa"/>
            <w:shd w:val="clear" w:color="auto" w:fill="auto"/>
          </w:tcPr>
          <w:p w14:paraId="03C16B3B" w14:textId="77777777" w:rsidR="00FF7F38" w:rsidRPr="00D525A4" w:rsidRDefault="00FF7F38" w:rsidP="00B11DA4">
            <w:pPr>
              <w:pStyle w:val="Tabletext"/>
            </w:pPr>
            <w:r w:rsidRPr="00D525A4">
              <w:t>Full name</w:t>
            </w:r>
          </w:p>
          <w:p w14:paraId="2E3B61D2" w14:textId="77777777" w:rsidR="00FF7F38" w:rsidRPr="00D525A4" w:rsidRDefault="00FF7F38" w:rsidP="00B11DA4">
            <w:pPr>
              <w:pStyle w:val="Tabletext"/>
            </w:pPr>
          </w:p>
        </w:tc>
        <w:tc>
          <w:tcPr>
            <w:tcW w:w="5624" w:type="dxa"/>
            <w:shd w:val="clear" w:color="auto" w:fill="auto"/>
          </w:tcPr>
          <w:p w14:paraId="37246F49" w14:textId="77777777" w:rsidR="00FF7F38" w:rsidRPr="00D525A4" w:rsidRDefault="00FF7F38" w:rsidP="00B11DA4">
            <w:pPr>
              <w:pStyle w:val="Tabletext"/>
            </w:pPr>
          </w:p>
        </w:tc>
      </w:tr>
      <w:tr w:rsidR="00FF7F38" w:rsidRPr="00D525A4" w14:paraId="3AFC7F30" w14:textId="77777777" w:rsidTr="00B11DA4">
        <w:tc>
          <w:tcPr>
            <w:tcW w:w="2689" w:type="dxa"/>
            <w:shd w:val="clear" w:color="auto" w:fill="auto"/>
          </w:tcPr>
          <w:p w14:paraId="7AED7F40" w14:textId="77777777" w:rsidR="00FF7F38" w:rsidRPr="00D525A4" w:rsidRDefault="00FF7F38" w:rsidP="00B11DA4">
            <w:pPr>
              <w:pStyle w:val="Tabletext"/>
            </w:pPr>
            <w:r w:rsidRPr="00D525A4">
              <w:t>Position</w:t>
            </w:r>
          </w:p>
          <w:p w14:paraId="0437A913" w14:textId="77777777" w:rsidR="00FF7F38" w:rsidRPr="00D525A4" w:rsidRDefault="00FF7F38" w:rsidP="00B11DA4">
            <w:pPr>
              <w:pStyle w:val="Tabletext"/>
            </w:pPr>
          </w:p>
        </w:tc>
        <w:tc>
          <w:tcPr>
            <w:tcW w:w="5624" w:type="dxa"/>
            <w:shd w:val="clear" w:color="auto" w:fill="auto"/>
          </w:tcPr>
          <w:p w14:paraId="665DE3E4" w14:textId="77777777" w:rsidR="00FF7F38" w:rsidRPr="00D525A4" w:rsidRDefault="00FF7F38" w:rsidP="00B11DA4">
            <w:pPr>
              <w:pStyle w:val="Tabletext"/>
            </w:pPr>
          </w:p>
        </w:tc>
      </w:tr>
      <w:tr w:rsidR="00FF7F38" w:rsidRPr="00D525A4" w14:paraId="689E9CA5" w14:textId="77777777" w:rsidTr="00B11DA4">
        <w:tc>
          <w:tcPr>
            <w:tcW w:w="2689" w:type="dxa"/>
            <w:shd w:val="clear" w:color="auto" w:fill="auto"/>
          </w:tcPr>
          <w:p w14:paraId="03A83AB8" w14:textId="77777777" w:rsidR="00FF7F38" w:rsidRPr="00D525A4" w:rsidRDefault="00FF7F38" w:rsidP="00B11DA4">
            <w:pPr>
              <w:pStyle w:val="Tabletext"/>
            </w:pPr>
            <w:r w:rsidRPr="00D525A4">
              <w:t>Agency</w:t>
            </w:r>
          </w:p>
          <w:p w14:paraId="67E155FF" w14:textId="77777777" w:rsidR="00FF7F38" w:rsidRPr="00D525A4" w:rsidRDefault="00FF7F38" w:rsidP="00B11DA4">
            <w:pPr>
              <w:pStyle w:val="Tabletext"/>
            </w:pPr>
          </w:p>
        </w:tc>
        <w:tc>
          <w:tcPr>
            <w:tcW w:w="5624" w:type="dxa"/>
            <w:shd w:val="clear" w:color="auto" w:fill="auto"/>
          </w:tcPr>
          <w:p w14:paraId="4AACF778" w14:textId="77777777" w:rsidR="00FF7F38" w:rsidRPr="00D525A4" w:rsidRDefault="00FF7F38" w:rsidP="00B11DA4">
            <w:pPr>
              <w:pStyle w:val="Tabletext"/>
            </w:pPr>
          </w:p>
        </w:tc>
      </w:tr>
    </w:tbl>
    <w:p w14:paraId="27EC4EEB" w14:textId="77777777" w:rsidR="00FF7F38" w:rsidRPr="00D525A4"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D525A4" w14:paraId="1B30D6D2" w14:textId="77777777" w:rsidTr="00B11DA4">
        <w:tc>
          <w:tcPr>
            <w:tcW w:w="8313" w:type="dxa"/>
            <w:shd w:val="clear" w:color="auto" w:fill="000000" w:themeFill="text1"/>
          </w:tcPr>
          <w:p w14:paraId="2F9C5335" w14:textId="77777777" w:rsidR="00FF7F38" w:rsidRPr="00D525A4" w:rsidRDefault="00FF7F38" w:rsidP="002F4595">
            <w:pPr>
              <w:pStyle w:val="TableHeading"/>
              <w:rPr>
                <w:i/>
                <w:color w:val="FFFFFF" w:themeColor="background1"/>
              </w:rPr>
            </w:pPr>
            <w:r w:rsidRPr="00D525A4">
              <w:t>Declaration</w:t>
            </w:r>
          </w:p>
        </w:tc>
      </w:tr>
    </w:tbl>
    <w:p w14:paraId="3BAE0377" w14:textId="77777777" w:rsidR="00FF7F38" w:rsidRPr="00D525A4" w:rsidRDefault="00FF7F38" w:rsidP="00FF7F38">
      <w:pPr>
        <w:pStyle w:val="Tabletext"/>
      </w:pPr>
    </w:p>
    <w:p w14:paraId="1DC7C985" w14:textId="77777777" w:rsidR="00FF7F38" w:rsidRPr="00D525A4" w:rsidRDefault="00FF7F38" w:rsidP="00FF7F38">
      <w:pPr>
        <w:pStyle w:val="Tabletext"/>
        <w:rPr>
          <w:b/>
          <w:color w:val="000000"/>
        </w:rPr>
      </w:pPr>
      <w:r w:rsidRPr="00D525A4">
        <w:rPr>
          <w:b/>
          <w:color w:val="000000"/>
        </w:rPr>
        <w:t>I am the senior member specified above and I reasonably believe that the continued provision of a designated service by the reporting entity to the customer(s) specified in the keep open notice would assist in the continued investigation by the agency of the serious offence(s) described in this application.</w:t>
      </w:r>
    </w:p>
    <w:p w14:paraId="148AAC44" w14:textId="77777777" w:rsidR="00FF7F38" w:rsidRPr="00D525A4" w:rsidRDefault="00FF7F38" w:rsidP="00FF7F38">
      <w:pPr>
        <w:pStyle w:val="Tabletext"/>
      </w:pPr>
    </w:p>
    <w:tbl>
      <w:tblPr>
        <w:tblW w:w="5000" w:type="pct"/>
        <w:tblLook w:val="0000" w:firstRow="0" w:lastRow="0" w:firstColumn="0" w:lastColumn="0" w:noHBand="0" w:noVBand="0"/>
      </w:tblPr>
      <w:tblGrid>
        <w:gridCol w:w="5363"/>
        <w:gridCol w:w="273"/>
        <w:gridCol w:w="2677"/>
      </w:tblGrid>
      <w:tr w:rsidR="00FF7F38" w:rsidRPr="00D525A4" w14:paraId="595F915D" w14:textId="77777777" w:rsidTr="00B11DA4">
        <w:trPr>
          <w:cantSplit/>
        </w:trPr>
        <w:tc>
          <w:tcPr>
            <w:tcW w:w="3226" w:type="pct"/>
          </w:tcPr>
          <w:p w14:paraId="26FF61FB" w14:textId="77777777" w:rsidR="00FF7F38" w:rsidRPr="00D525A4" w:rsidRDefault="00FF7F38" w:rsidP="00B11DA4">
            <w:pPr>
              <w:pStyle w:val="Tabletext"/>
            </w:pPr>
            <w:r w:rsidRPr="00D525A4">
              <w:t>Signed</w:t>
            </w:r>
          </w:p>
        </w:tc>
        <w:tc>
          <w:tcPr>
            <w:tcW w:w="164" w:type="pct"/>
          </w:tcPr>
          <w:p w14:paraId="2E5E9348" w14:textId="77777777" w:rsidR="00FF7F38" w:rsidRPr="00D525A4" w:rsidRDefault="00FF7F38" w:rsidP="00B11DA4">
            <w:pPr>
              <w:tabs>
                <w:tab w:val="left" w:pos="3435"/>
              </w:tabs>
              <w:rPr>
                <w:sz w:val="18"/>
              </w:rPr>
            </w:pPr>
          </w:p>
        </w:tc>
        <w:tc>
          <w:tcPr>
            <w:tcW w:w="1610" w:type="pct"/>
          </w:tcPr>
          <w:p w14:paraId="7D44F45D" w14:textId="77777777" w:rsidR="00FF7F38" w:rsidRPr="00D525A4" w:rsidRDefault="00FF7F38" w:rsidP="00B11DA4">
            <w:pPr>
              <w:pStyle w:val="Tabletext"/>
            </w:pPr>
            <w:r w:rsidRPr="00D525A4">
              <w:t>Date</w:t>
            </w:r>
          </w:p>
        </w:tc>
      </w:tr>
      <w:tr w:rsidR="00FF7F38" w:rsidRPr="00D525A4" w14:paraId="3900C68C" w14:textId="77777777" w:rsidTr="00B11DA4">
        <w:trPr>
          <w:cantSplit/>
        </w:trPr>
        <w:tc>
          <w:tcPr>
            <w:tcW w:w="3226" w:type="pct"/>
            <w:tcBorders>
              <w:top w:val="single" w:sz="4" w:space="0" w:color="auto"/>
              <w:left w:val="single" w:sz="4" w:space="0" w:color="auto"/>
              <w:bottom w:val="single" w:sz="4" w:space="0" w:color="auto"/>
              <w:right w:val="single" w:sz="4" w:space="0" w:color="auto"/>
            </w:tcBorders>
          </w:tcPr>
          <w:p w14:paraId="4258871C" w14:textId="77777777" w:rsidR="00FF7F38" w:rsidRPr="00D525A4" w:rsidRDefault="00FF7F38" w:rsidP="00B11DA4">
            <w:pPr>
              <w:spacing w:line="240" w:lineRule="auto"/>
              <w:rPr>
                <w:sz w:val="18"/>
              </w:rPr>
            </w:pPr>
          </w:p>
          <w:p w14:paraId="59440D58" w14:textId="77777777" w:rsidR="00FF7F38" w:rsidRPr="00D525A4" w:rsidRDefault="00FF7F38" w:rsidP="00B11DA4">
            <w:pPr>
              <w:spacing w:line="240" w:lineRule="auto"/>
              <w:rPr>
                <w:sz w:val="18"/>
              </w:rPr>
            </w:pPr>
          </w:p>
          <w:p w14:paraId="22C0D072" w14:textId="77777777" w:rsidR="00FF7F38" w:rsidRPr="00D525A4" w:rsidRDefault="00FF7F38" w:rsidP="00B11DA4">
            <w:pPr>
              <w:spacing w:line="240" w:lineRule="auto"/>
              <w:rPr>
                <w:sz w:val="18"/>
              </w:rPr>
            </w:pPr>
          </w:p>
        </w:tc>
        <w:tc>
          <w:tcPr>
            <w:tcW w:w="164" w:type="pct"/>
            <w:tcBorders>
              <w:right w:val="single" w:sz="4" w:space="0" w:color="auto"/>
            </w:tcBorders>
          </w:tcPr>
          <w:p w14:paraId="5A097955" w14:textId="77777777" w:rsidR="00FF7F38" w:rsidRPr="00D525A4" w:rsidRDefault="00FF7F38" w:rsidP="00B11DA4">
            <w:pPr>
              <w:tabs>
                <w:tab w:val="left" w:pos="3435"/>
              </w:tabs>
              <w:rPr>
                <w:sz w:val="18"/>
              </w:rPr>
            </w:pPr>
          </w:p>
        </w:tc>
        <w:tc>
          <w:tcPr>
            <w:tcW w:w="1610" w:type="pct"/>
            <w:tcBorders>
              <w:top w:val="single" w:sz="4" w:space="0" w:color="auto"/>
              <w:bottom w:val="single" w:sz="4" w:space="0" w:color="auto"/>
              <w:right w:val="single" w:sz="4" w:space="0" w:color="auto"/>
            </w:tcBorders>
          </w:tcPr>
          <w:p w14:paraId="38809C81" w14:textId="77777777" w:rsidR="00FF7F38" w:rsidRPr="00D525A4" w:rsidRDefault="00FF7F38" w:rsidP="00B11DA4">
            <w:pPr>
              <w:tabs>
                <w:tab w:val="left" w:pos="3435"/>
              </w:tabs>
              <w:rPr>
                <w:sz w:val="18"/>
              </w:rPr>
            </w:pPr>
          </w:p>
        </w:tc>
      </w:tr>
    </w:tbl>
    <w:p w14:paraId="6DCDBFD9" w14:textId="77777777" w:rsidR="0086528C" w:rsidRPr="00D525A4" w:rsidRDefault="0086528C" w:rsidP="007F3DCE"/>
    <w:p w14:paraId="0945E39E" w14:textId="77777777" w:rsidR="0086528C" w:rsidRPr="00D525A4" w:rsidRDefault="0086528C" w:rsidP="0086528C">
      <w:pPr>
        <w:sectPr w:rsidR="0086528C" w:rsidRPr="00D525A4" w:rsidSect="0086528C">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p>
    <w:p w14:paraId="2950BA47" w14:textId="2BF2A9D5" w:rsidR="001039FE" w:rsidRPr="00D525A4" w:rsidRDefault="001039FE" w:rsidP="00F70FCD">
      <w:pPr>
        <w:rPr>
          <w:b/>
          <w:iCs/>
        </w:rPr>
      </w:pPr>
    </w:p>
    <w:sectPr w:rsidR="001039FE" w:rsidRPr="00D525A4" w:rsidSect="0086528C">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652A3" w14:textId="77777777" w:rsidR="004D4DAE" w:rsidRDefault="004D4DAE" w:rsidP="00715914">
      <w:pPr>
        <w:spacing w:line="240" w:lineRule="auto"/>
      </w:pPr>
      <w:r>
        <w:separator/>
      </w:r>
    </w:p>
  </w:endnote>
  <w:endnote w:type="continuationSeparator" w:id="0">
    <w:p w14:paraId="4AD46EC7" w14:textId="77777777" w:rsidR="004D4DAE" w:rsidRDefault="004D4DA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embedRegular r:id="rId1" w:fontKey="{8266AD76-7F94-4F1D-827B-CCE1FD39B1A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4D4DAE" w14:paraId="13FF4050" w14:textId="77777777" w:rsidTr="008A04E4">
      <w:tc>
        <w:tcPr>
          <w:tcW w:w="8472" w:type="dxa"/>
        </w:tcPr>
        <w:p w14:paraId="4E28F301" w14:textId="0890DC5C" w:rsidR="004D4DAE" w:rsidRDefault="004D4DAE" w:rsidP="0086528C">
          <w:pPr>
            <w:spacing w:before="120"/>
            <w:jc w:val="right"/>
            <w:rPr>
              <w:sz w:val="18"/>
            </w:rPr>
          </w:pPr>
          <w:r w:rsidRPr="00ED79B6">
            <w:rPr>
              <w:i/>
              <w:sz w:val="18"/>
            </w:rPr>
            <w:t xml:space="preserve"> </w:t>
          </w:r>
        </w:p>
      </w:tc>
    </w:tr>
  </w:tbl>
  <w:p w14:paraId="4252F376" w14:textId="77777777" w:rsidR="004D4DAE" w:rsidRPr="007500C8" w:rsidRDefault="004D4DAE" w:rsidP="00335BC6">
    <w:pPr>
      <w:pStyle w:val="Footer"/>
    </w:pPr>
    <w:r w:rsidRPr="00324EB0">
      <w:rPr>
        <w:b/>
        <w:noProof/>
        <w:lang w:val="en-US"/>
      </w:rPr>
      <mc:AlternateContent>
        <mc:Choice Requires="wps">
          <w:drawing>
            <wp:anchor distT="0" distB="0" distL="114300" distR="114300" simplePos="0" relativeHeight="251662336" behindDoc="1" locked="1" layoutInCell="1" allowOverlap="1" wp14:anchorId="4E5744C4" wp14:editId="04F6010D">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AB313A" w14:textId="45493860" w:rsidR="004D4DAE" w:rsidRPr="00324EB0" w:rsidRDefault="00EE271C"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5744C4" id="_x0000_t202" coordsize="21600,21600" o:spt="202" path="m,l,21600r21600,l21600,xe">
              <v:stroke joinstyle="miter"/>
              <v:path gradientshapeok="t" o:connecttype="rect"/>
            </v:shapetype>
            <v:shape id="Text Box 22" o:spid="_x0000_s1028" type="#_x0000_t202" alt="Sec-Footerevenpage" style="position:absolute;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79AB313A" w14:textId="45493860" w:rsidR="004D4DAE" w:rsidRPr="00324EB0" w:rsidRDefault="00EE271C"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9CE2" w14:textId="17BEF778" w:rsidR="004D4DAE" w:rsidRPr="008A2C51" w:rsidRDefault="004D4DAE" w:rsidP="0086528C">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574"/>
      <w:gridCol w:w="6132"/>
      <w:gridCol w:w="607"/>
    </w:tblGrid>
    <w:tr w:rsidR="004D4DAE" w:rsidRPr="008A2C51" w14:paraId="461F79A6" w14:textId="77777777" w:rsidTr="0086528C">
      <w:tc>
        <w:tcPr>
          <w:tcW w:w="947" w:type="pct"/>
        </w:tcPr>
        <w:p w14:paraId="05E1473F" w14:textId="77777777" w:rsidR="004D4DAE" w:rsidRPr="008A2C51" w:rsidRDefault="004D4DAE" w:rsidP="0086528C">
          <w:pPr>
            <w:spacing w:line="0" w:lineRule="atLeast"/>
            <w:rPr>
              <w:rFonts w:eastAsia="Calibri"/>
              <w:sz w:val="18"/>
            </w:rPr>
          </w:pPr>
        </w:p>
      </w:tc>
      <w:tc>
        <w:tcPr>
          <w:tcW w:w="3688" w:type="pct"/>
        </w:tcPr>
        <w:p w14:paraId="2E76F7C1" w14:textId="1C573619" w:rsidR="004D4DAE" w:rsidRPr="008A2C51" w:rsidRDefault="004D4DAE" w:rsidP="0086528C">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EE271C">
            <w:rPr>
              <w:rFonts w:eastAsia="Calibri"/>
              <w:i/>
              <w:sz w:val="18"/>
            </w:rPr>
            <w:t>Anti-Money Laundering and Counter-Terrorism Financing Rules 2025</w:t>
          </w:r>
          <w:r w:rsidRPr="008A2C51">
            <w:rPr>
              <w:rFonts w:eastAsia="Calibri"/>
              <w:i/>
              <w:sz w:val="18"/>
            </w:rPr>
            <w:fldChar w:fldCharType="end"/>
          </w:r>
        </w:p>
      </w:tc>
      <w:tc>
        <w:tcPr>
          <w:tcW w:w="365" w:type="pct"/>
        </w:tcPr>
        <w:p w14:paraId="250B85F9" w14:textId="77777777" w:rsidR="004D4DAE" w:rsidRPr="008A2C51" w:rsidRDefault="004D4DAE" w:rsidP="0086528C">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3</w:t>
          </w:r>
          <w:r w:rsidRPr="008A2C51">
            <w:rPr>
              <w:rFonts w:eastAsia="Calibri"/>
              <w:i/>
              <w:sz w:val="18"/>
            </w:rPr>
            <w:fldChar w:fldCharType="end"/>
          </w:r>
        </w:p>
      </w:tc>
    </w:tr>
    <w:tr w:rsidR="004D4DAE" w:rsidRPr="008A2C51" w14:paraId="223A5DF4" w14:textId="77777777" w:rsidTr="0086528C">
      <w:tc>
        <w:tcPr>
          <w:tcW w:w="5000" w:type="pct"/>
          <w:gridSpan w:val="3"/>
        </w:tcPr>
        <w:p w14:paraId="408AA720" w14:textId="72562588" w:rsidR="004D4DAE" w:rsidRPr="008A2C51" w:rsidRDefault="004D4DAE" w:rsidP="0086528C">
          <w:pPr>
            <w:rPr>
              <w:rFonts w:eastAsia="Calibri"/>
              <w:sz w:val="18"/>
            </w:rPr>
          </w:pPr>
          <w:r w:rsidRPr="008A2C51">
            <w:rPr>
              <w:rFonts w:eastAsia="Calibri"/>
              <w:i/>
              <w:sz w:val="18"/>
            </w:rPr>
            <w:t xml:space="preserve"> </w:t>
          </w:r>
        </w:p>
      </w:tc>
    </w:tr>
  </w:tbl>
  <w:p w14:paraId="34331FA0" w14:textId="77777777" w:rsidR="004D4DAE" w:rsidRPr="008A2C51" w:rsidRDefault="004D4DAE" w:rsidP="0086528C">
    <w:pPr>
      <w:rPr>
        <w:rFonts w:eastAsia="Calibri"/>
        <w:i/>
        <w:sz w:val="18"/>
      </w:rPr>
    </w:pPr>
    <w:r w:rsidRPr="004622E0">
      <w:rPr>
        <w:rFonts w:eastAsia="Calibri"/>
        <w:b/>
        <w:i/>
        <w:noProof/>
        <w:sz w:val="18"/>
        <w:lang w:val="en-US"/>
      </w:rPr>
      <mc:AlternateContent>
        <mc:Choice Requires="wps">
          <w:drawing>
            <wp:anchor distT="0" distB="0" distL="114300" distR="114300" simplePos="0" relativeHeight="251665408" behindDoc="1" locked="1" layoutInCell="1" allowOverlap="1" wp14:anchorId="564394D6" wp14:editId="79B1AB62">
              <wp:simplePos x="0" y="0"/>
              <wp:positionH relativeFrom="page">
                <wp:align>center</wp:align>
              </wp:positionH>
              <wp:positionV relativeFrom="paragraph">
                <wp:posOffset>1270</wp:posOffset>
              </wp:positionV>
              <wp:extent cx="5773003" cy="395785"/>
              <wp:effectExtent l="0" t="0" r="0" b="4445"/>
              <wp:wrapNone/>
              <wp:docPr id="649" name="Text Box 649"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89018C" w14:textId="40527DA8" w:rsidR="004D4DAE" w:rsidRPr="00324EB0" w:rsidRDefault="00EE271C"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4394D6" id="_x0000_t202" coordsize="21600,21600" o:spt="202" path="m,l,21600r21600,l21600,xe">
              <v:stroke joinstyle="miter"/>
              <v:path gradientshapeok="t" o:connecttype="rect"/>
            </v:shapetype>
            <v:shape id="Text Box 649" o:spid="_x0000_s1041" type="#_x0000_t202" alt="Sec-Footerprimary" style="position:absolute;margin-left:0;margin-top:.1pt;width:454.55pt;height:31.15pt;z-index:-2516480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" stroked="f" strokeweight=".5pt">
              <v:textbox>
                <w:txbxContent>
                  <w:p w14:paraId="4089018C" w14:textId="40527DA8" w:rsidR="004D4DAE" w:rsidRPr="00324EB0" w:rsidRDefault="00EE271C"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E255" w14:textId="38D671EF" w:rsidR="004D4DAE" w:rsidRDefault="004D4DAE">
    <w:pPr>
      <w:pBdr>
        <w:top w:val="single" w:sz="6" w:space="1" w:color="auto"/>
      </w:pBdr>
      <w:rPr>
        <w:sz w:val="18"/>
      </w:rPr>
    </w:pPr>
  </w:p>
  <w:p w14:paraId="114FAFAC" w14:textId="2D4A1BA2" w:rsidR="004D4DAE" w:rsidRDefault="004D4DAE">
    <w:pPr>
      <w:jc w:val="right"/>
      <w:rPr>
        <w:i/>
        <w:sz w:val="18"/>
      </w:rPr>
    </w:pPr>
    <w:r>
      <w:rPr>
        <w:i/>
        <w:sz w:val="18"/>
      </w:rPr>
      <w:fldChar w:fldCharType="begin"/>
    </w:r>
    <w:r>
      <w:rPr>
        <w:i/>
        <w:sz w:val="18"/>
      </w:rPr>
      <w:instrText xml:space="preserve"> STYLEREF ShortT </w:instrText>
    </w:r>
    <w:r>
      <w:rPr>
        <w:i/>
        <w:sz w:val="18"/>
      </w:rPr>
      <w:fldChar w:fldCharType="separate"/>
    </w:r>
    <w:r w:rsidR="00EE271C">
      <w:rPr>
        <w:i/>
        <w:noProof/>
        <w:sz w:val="18"/>
      </w:rPr>
      <w:t>Anti-Money Laundering and Counter-Terrorism Financing Rules 2025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E271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w:t>
    </w:r>
    <w:r>
      <w:rPr>
        <w:i/>
        <w:sz w:val="18"/>
      </w:rPr>
      <w:fldChar w:fldCharType="end"/>
    </w:r>
  </w:p>
  <w:p w14:paraId="39131654" w14:textId="019DD5BD" w:rsidR="004D4DAE" w:rsidRDefault="004D4DAE">
    <w:pPr>
      <w:rPr>
        <w:i/>
        <w:sz w:val="18"/>
      </w:rPr>
    </w:pPr>
    <w:r w:rsidRPr="004622E0">
      <w:rPr>
        <w:b/>
        <w:i/>
        <w:noProof/>
        <w:sz w:val="18"/>
        <w:lang w:val="en-US"/>
      </w:rPr>
      <mc:AlternateContent>
        <mc:Choice Requires="wps">
          <w:drawing>
            <wp:anchor distT="0" distB="0" distL="114300" distR="114300" simplePos="0" relativeHeight="251666432" behindDoc="1" locked="1" layoutInCell="1" allowOverlap="1" wp14:anchorId="02F545E7" wp14:editId="16875176">
              <wp:simplePos x="0" y="0"/>
              <wp:positionH relativeFrom="page">
                <wp:align>center</wp:align>
              </wp:positionH>
              <wp:positionV relativeFrom="paragraph">
                <wp:posOffset>1270</wp:posOffset>
              </wp:positionV>
              <wp:extent cx="5773003" cy="395785"/>
              <wp:effectExtent l="0" t="0" r="0" b="4445"/>
              <wp:wrapNone/>
              <wp:docPr id="651" name="Text Box 65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F266CA" w14:textId="675C462C" w:rsidR="004D4DAE" w:rsidRPr="00324EB0" w:rsidRDefault="00EE271C"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F545E7" id="_x0000_t202" coordsize="21600,21600" o:spt="202" path="m,l,21600r21600,l21600,xe">
              <v:stroke joinstyle="miter"/>
              <v:path gradientshapeok="t" o:connecttype="rect"/>
            </v:shapetype>
            <v:shape id="Text Box 651" o:spid="_x0000_s1043" type="#_x0000_t202" alt="Sec-Footerfirstpage" style="position:absolute;margin-left:0;margin-top:.1pt;width:454.55pt;height:31.15pt;z-index:-25164595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lXgQ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" stroked="f" strokeweight=".5pt">
              <v:textbox>
                <w:txbxContent>
                  <w:p w14:paraId="0FF266CA" w14:textId="675C462C" w:rsidR="004D4DAE" w:rsidRPr="00324EB0" w:rsidRDefault="00EE271C"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A7C0" w14:textId="09A66216" w:rsidR="004D4DAE" w:rsidRPr="00E33C1C" w:rsidRDefault="004D4DAE" w:rsidP="0086528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D4DAE" w14:paraId="4846150C" w14:textId="77777777" w:rsidTr="00B33709">
      <w:tc>
        <w:tcPr>
          <w:tcW w:w="709" w:type="dxa"/>
          <w:tcBorders>
            <w:top w:val="nil"/>
            <w:left w:val="nil"/>
            <w:bottom w:val="nil"/>
            <w:right w:val="nil"/>
          </w:tcBorders>
        </w:tcPr>
        <w:p w14:paraId="4304378F" w14:textId="77777777" w:rsidR="004D4DAE" w:rsidRDefault="004D4DAE" w:rsidP="008A04E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13D43561" w14:textId="32FA224F" w:rsidR="004D4DAE" w:rsidRDefault="004D4DAE" w:rsidP="008A0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271C">
            <w:rPr>
              <w:i/>
              <w:sz w:val="18"/>
            </w:rPr>
            <w:t>Anti-Money Laundering and Counter-Terrorism Financing Rules 2025</w:t>
          </w:r>
          <w:r w:rsidRPr="007A1328">
            <w:rPr>
              <w:i/>
              <w:sz w:val="18"/>
            </w:rPr>
            <w:fldChar w:fldCharType="end"/>
          </w:r>
        </w:p>
      </w:tc>
      <w:tc>
        <w:tcPr>
          <w:tcW w:w="1383" w:type="dxa"/>
          <w:tcBorders>
            <w:top w:val="nil"/>
            <w:left w:val="nil"/>
            <w:bottom w:val="nil"/>
            <w:right w:val="nil"/>
          </w:tcBorders>
        </w:tcPr>
        <w:p w14:paraId="4F108834" w14:textId="77777777" w:rsidR="004D4DAE" w:rsidRDefault="004D4DAE" w:rsidP="008A04E4">
          <w:pPr>
            <w:spacing w:line="0" w:lineRule="atLeast"/>
            <w:jc w:val="right"/>
            <w:rPr>
              <w:sz w:val="18"/>
            </w:rPr>
          </w:pPr>
        </w:p>
      </w:tc>
    </w:tr>
    <w:tr w:rsidR="004D4DAE" w14:paraId="4347849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3A24540" w14:textId="164D8BDE" w:rsidR="004D4DAE" w:rsidRDefault="004D4DAE" w:rsidP="008A04E4">
          <w:pPr>
            <w:jc w:val="right"/>
            <w:rPr>
              <w:sz w:val="18"/>
            </w:rPr>
          </w:pPr>
          <w:r w:rsidRPr="00ED79B6">
            <w:rPr>
              <w:i/>
              <w:sz w:val="18"/>
            </w:rPr>
            <w:t xml:space="preserve"> </w:t>
          </w:r>
        </w:p>
      </w:tc>
    </w:tr>
  </w:tbl>
  <w:p w14:paraId="29B559C3" w14:textId="77777777" w:rsidR="004D4DAE" w:rsidRPr="00ED79B6" w:rsidRDefault="004D4DAE" w:rsidP="007500C8">
    <w:pPr>
      <w:rPr>
        <w:i/>
        <w:sz w:val="18"/>
      </w:rPr>
    </w:pPr>
    <w:r w:rsidRPr="001769A7">
      <w:rPr>
        <w:b/>
        <w:i/>
        <w:noProof/>
        <w:sz w:val="18"/>
        <w:lang w:val="en-US"/>
      </w:rPr>
      <mc:AlternateContent>
        <mc:Choice Requires="wps">
          <w:drawing>
            <wp:anchor distT="0" distB="0" distL="114300" distR="114300" simplePos="0" relativeHeight="251651072" behindDoc="1" locked="1" layoutInCell="1" allowOverlap="1" wp14:anchorId="34D76CFB" wp14:editId="477CAFA7">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4E537E" w14:textId="2CFADEAF" w:rsidR="004D4DAE" w:rsidRPr="00324EB0" w:rsidRDefault="00EE271C"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D76CFB" id="_x0000_t202" coordsize="21600,21600" o:spt="202" path="m,l,21600r21600,l21600,xe">
              <v:stroke joinstyle="miter"/>
              <v:path gradientshapeok="t" o:connecttype="rect"/>
            </v:shapetype>
            <v:shape id="Text Box 30" o:spid="_x0000_s1046" type="#_x0000_t202" alt="Sec-Footerevenpage" style="position:absolute;margin-left:0;margin-top:0;width:454.55pt;height:31.15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SLfwIAAG4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WLgJR2mmYhPS6h22BkOuqHxls8Vlu+e+fDEHE4JNgNOfnjEQ2rA7ENP&#10;UbIG9+tv7xGPzYtcShqcupL6nxvmBCX6q8G2vhqcn8cxTZfz8QS9Ie6UszzlmE19C9gVA9wxlicy&#10;4oPek9JB/YILYhatIosZjrZLGvbkbeh2AS4YLmazBMLBtCzcm4XlUXVMc2zO5/aFOdt3cMDef4D9&#10;fLLiTSN32ChpYLYJIFXq8mNW+wLgUKc56RdQ3Bqn94Q6rsnpKwA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u8WUi38CAABuBQAA&#10;DgAAAAAAAAAAAAAAAAAuAgAAZHJzL2Uyb0RvYy54bWxQSwECLQAUAAYACAAAACEATjFmLdkAAAAE&#10;AQAADwAAAAAAAAAAAAAAAADZBAAAZHJzL2Rvd25yZXYueG1sUEsFBgAAAAAEAAQA8wAAAN8FAAAA&#10;AA==&#10;" stroked="f" strokeweight=".5pt">
              <v:textbox>
                <w:txbxContent>
                  <w:p w14:paraId="4D4E537E" w14:textId="2CFADEAF" w:rsidR="004D4DAE" w:rsidRPr="00324EB0" w:rsidRDefault="00EE271C"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14BE" w14:textId="49F85773" w:rsidR="004D4DAE" w:rsidRPr="00E33C1C" w:rsidRDefault="004D4DAE" w:rsidP="0086528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D4DAE" w14:paraId="57783CC1" w14:textId="77777777" w:rsidTr="008A04E4">
      <w:tc>
        <w:tcPr>
          <w:tcW w:w="1384" w:type="dxa"/>
          <w:tcBorders>
            <w:top w:val="nil"/>
            <w:left w:val="nil"/>
            <w:bottom w:val="nil"/>
            <w:right w:val="nil"/>
          </w:tcBorders>
        </w:tcPr>
        <w:p w14:paraId="242887A7" w14:textId="77777777" w:rsidR="004D4DAE" w:rsidRDefault="004D4DAE" w:rsidP="008A04E4">
          <w:pPr>
            <w:spacing w:line="0" w:lineRule="atLeast"/>
            <w:rPr>
              <w:sz w:val="18"/>
            </w:rPr>
          </w:pPr>
        </w:p>
      </w:tc>
      <w:tc>
        <w:tcPr>
          <w:tcW w:w="6379" w:type="dxa"/>
          <w:tcBorders>
            <w:top w:val="nil"/>
            <w:left w:val="nil"/>
            <w:bottom w:val="nil"/>
            <w:right w:val="nil"/>
          </w:tcBorders>
        </w:tcPr>
        <w:p w14:paraId="41E8E836" w14:textId="28BBAFB8" w:rsidR="004D4DAE" w:rsidRDefault="004D4DAE" w:rsidP="008A0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271C">
            <w:rPr>
              <w:i/>
              <w:sz w:val="18"/>
            </w:rPr>
            <w:t>Anti-Money Laundering and Counter-Terrorism Financing Rules 2025</w:t>
          </w:r>
          <w:r w:rsidRPr="007A1328">
            <w:rPr>
              <w:i/>
              <w:sz w:val="18"/>
            </w:rPr>
            <w:fldChar w:fldCharType="end"/>
          </w:r>
        </w:p>
      </w:tc>
      <w:tc>
        <w:tcPr>
          <w:tcW w:w="709" w:type="dxa"/>
          <w:tcBorders>
            <w:top w:val="nil"/>
            <w:left w:val="nil"/>
            <w:bottom w:val="nil"/>
            <w:right w:val="nil"/>
          </w:tcBorders>
        </w:tcPr>
        <w:p w14:paraId="1F213197" w14:textId="77777777" w:rsidR="004D4DAE" w:rsidRDefault="004D4DAE" w:rsidP="008A04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D4DAE" w14:paraId="63D8DD98" w14:textId="77777777" w:rsidTr="008A0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BF9C38" w14:textId="63CF85BA" w:rsidR="004D4DAE" w:rsidRDefault="004D4DAE" w:rsidP="008A04E4">
          <w:pPr>
            <w:rPr>
              <w:sz w:val="18"/>
            </w:rPr>
          </w:pPr>
          <w:r w:rsidRPr="00ED79B6">
            <w:rPr>
              <w:i/>
              <w:sz w:val="18"/>
            </w:rPr>
            <w:t xml:space="preserve"> </w:t>
          </w:r>
        </w:p>
      </w:tc>
    </w:tr>
  </w:tbl>
  <w:p w14:paraId="11B9F47A" w14:textId="77777777" w:rsidR="004D4DAE" w:rsidRPr="00ED79B6" w:rsidRDefault="004D4DAE" w:rsidP="00472DBE">
    <w:pPr>
      <w:rPr>
        <w:i/>
        <w:sz w:val="18"/>
      </w:rPr>
    </w:pPr>
    <w:r w:rsidRPr="001769A7">
      <w:rPr>
        <w:b/>
        <w:i/>
        <w:noProof/>
        <w:sz w:val="18"/>
        <w:lang w:val="en-US"/>
      </w:rPr>
      <mc:AlternateContent>
        <mc:Choice Requires="wps">
          <w:drawing>
            <wp:anchor distT="0" distB="0" distL="114300" distR="114300" simplePos="0" relativeHeight="251648000" behindDoc="1" locked="1" layoutInCell="1" allowOverlap="1" wp14:anchorId="156B64AD" wp14:editId="5401ED81">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CE8037" w14:textId="3B4C6826" w:rsidR="004D4DAE" w:rsidRPr="00324EB0" w:rsidRDefault="00EE271C"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6B64AD" id="_x0000_t202" coordsize="21600,21600" o:spt="202" path="m,l,21600r21600,l21600,xe">
              <v:stroke joinstyle="miter"/>
              <v:path gradientshapeok="t" o:connecttype="rect"/>
            </v:shapetype>
            <v:shape id="Text Box 28" o:spid="_x0000_s1047" type="#_x0000_t202" alt="Sec-Footerprimary" style="position:absolute;margin-left:0;margin-top:0;width:454.55pt;height:31.15pt;z-index:-2516664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tefw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psIJyj8xw0A6Nt3yh8PnumQ9PzOGUIBlw8sMjHlIDdh86&#10;iZINuF9/+x7xSF7UUlLj1BXU/9wyJyjRXw3S+ro3HMYxTZfhaNzHizvXrM41ZlvNAVnRwx1jeRIj&#10;PuiDKB1UL7ggZjEqqpjhGLug4SDOQ7sLcMFwMZslEA6mZeHeLC2PrmObIzmfmxfmbMfggNx/gMN8&#10;sskbIrfYaGlgtg0gVWJ5bHTb1e4BcKjTnHQLKG6N83tCndb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xHfbXn8CAABuBQAA&#10;DgAAAAAAAAAAAAAAAAAuAgAAZHJzL2Uyb0RvYy54bWxQSwECLQAUAAYACAAAACEATjFmLdkAAAAE&#10;AQAADwAAAAAAAAAAAAAAAADZBAAAZHJzL2Rvd25yZXYueG1sUEsFBgAAAAAEAAQA8wAAAN8FAAAA&#10;AA==&#10;" stroked="f" strokeweight=".5pt">
              <v:textbox>
                <w:txbxContent>
                  <w:p w14:paraId="1FCE8037" w14:textId="3B4C6826" w:rsidR="004D4DAE" w:rsidRPr="00324EB0" w:rsidRDefault="00EE271C"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D5E3C" w14:textId="10E41507" w:rsidR="004D4DAE" w:rsidRPr="00E33C1C" w:rsidRDefault="004D4DAE"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D4DAE" w14:paraId="5C1B7CC2" w14:textId="77777777" w:rsidTr="00B33709">
      <w:tc>
        <w:tcPr>
          <w:tcW w:w="1384" w:type="dxa"/>
          <w:tcBorders>
            <w:top w:val="nil"/>
            <w:left w:val="nil"/>
            <w:bottom w:val="nil"/>
            <w:right w:val="nil"/>
          </w:tcBorders>
        </w:tcPr>
        <w:p w14:paraId="0314FCE4" w14:textId="77777777" w:rsidR="004D4DAE" w:rsidRDefault="004D4DAE" w:rsidP="008A04E4">
          <w:pPr>
            <w:spacing w:line="0" w:lineRule="atLeast"/>
            <w:rPr>
              <w:sz w:val="18"/>
            </w:rPr>
          </w:pPr>
        </w:p>
      </w:tc>
      <w:tc>
        <w:tcPr>
          <w:tcW w:w="6379" w:type="dxa"/>
          <w:tcBorders>
            <w:top w:val="nil"/>
            <w:left w:val="nil"/>
            <w:bottom w:val="nil"/>
            <w:right w:val="nil"/>
          </w:tcBorders>
        </w:tcPr>
        <w:p w14:paraId="5736692E" w14:textId="10630851" w:rsidR="004D4DAE" w:rsidRDefault="004D4DAE" w:rsidP="008A0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271C">
            <w:rPr>
              <w:i/>
              <w:sz w:val="18"/>
            </w:rPr>
            <w:t>Anti-Money Laundering and Counter-Terrorism Financing Rules 2025</w:t>
          </w:r>
          <w:r w:rsidRPr="007A1328">
            <w:rPr>
              <w:i/>
              <w:sz w:val="18"/>
            </w:rPr>
            <w:fldChar w:fldCharType="end"/>
          </w:r>
        </w:p>
      </w:tc>
      <w:tc>
        <w:tcPr>
          <w:tcW w:w="709" w:type="dxa"/>
          <w:tcBorders>
            <w:top w:val="nil"/>
            <w:left w:val="nil"/>
            <w:bottom w:val="nil"/>
            <w:right w:val="nil"/>
          </w:tcBorders>
        </w:tcPr>
        <w:p w14:paraId="5D6DE5F3" w14:textId="77777777" w:rsidR="004D4DAE" w:rsidRDefault="004D4DAE" w:rsidP="008A04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D4DAE" w14:paraId="544AD84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58E0462" w14:textId="4643F8CD" w:rsidR="004D4DAE" w:rsidRDefault="004D4DAE" w:rsidP="008A04E4">
          <w:pPr>
            <w:rPr>
              <w:sz w:val="18"/>
            </w:rPr>
          </w:pPr>
          <w:r w:rsidRPr="00ED79B6">
            <w:rPr>
              <w:i/>
              <w:sz w:val="18"/>
            </w:rPr>
            <w:t xml:space="preserve"> </w:t>
          </w:r>
        </w:p>
      </w:tc>
    </w:tr>
  </w:tbl>
  <w:p w14:paraId="5657E9DE" w14:textId="77777777" w:rsidR="004D4DAE" w:rsidRPr="00ED79B6" w:rsidRDefault="004D4DAE"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96CF7" w14:textId="3703E3B3" w:rsidR="004D4DAE" w:rsidRDefault="004D4DAE" w:rsidP="0086528C">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4D4DAE" w14:paraId="6D931BC1" w14:textId="77777777" w:rsidTr="008A04E4">
      <w:tc>
        <w:tcPr>
          <w:tcW w:w="8472" w:type="dxa"/>
        </w:tcPr>
        <w:p w14:paraId="2815F635" w14:textId="441EA36B" w:rsidR="004D4DAE" w:rsidRDefault="004D4DAE" w:rsidP="008A04E4">
          <w:pPr>
            <w:rPr>
              <w:sz w:val="18"/>
            </w:rPr>
          </w:pPr>
          <w:r w:rsidRPr="00ED79B6">
            <w:rPr>
              <w:i/>
              <w:sz w:val="18"/>
            </w:rPr>
            <w:t xml:space="preserve"> </w:t>
          </w:r>
        </w:p>
      </w:tc>
    </w:tr>
  </w:tbl>
  <w:p w14:paraId="3F9CA669" w14:textId="77777777" w:rsidR="004D4DAE" w:rsidRPr="007500C8" w:rsidRDefault="004D4DAE" w:rsidP="007500C8">
    <w:pPr>
      <w:pStyle w:val="Footer"/>
    </w:pPr>
    <w:r w:rsidRPr="00324EB0">
      <w:rPr>
        <w:b/>
        <w:noProof/>
        <w:lang w:val="en-US"/>
      </w:rPr>
      <mc:AlternateContent>
        <mc:Choice Requires="wps">
          <w:drawing>
            <wp:anchor distT="0" distB="0" distL="114300" distR="114300" simplePos="0" relativeHeight="251657216" behindDoc="1" locked="1" layoutInCell="1" allowOverlap="1" wp14:anchorId="6C930E23" wp14:editId="60923A51">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B8AD7E" w14:textId="3EC1C703" w:rsidR="004D4DAE" w:rsidRPr="00324EB0" w:rsidRDefault="00EE271C"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930E23"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21B8AD7E" w14:textId="3EC1C703" w:rsidR="004D4DAE" w:rsidRPr="00324EB0" w:rsidRDefault="00EE271C"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1DA9F" w14:textId="77777777" w:rsidR="004D4DAE" w:rsidRPr="00ED79B6" w:rsidRDefault="004D4DAE"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C516" w14:textId="22A5E2A3" w:rsidR="004D4DAE" w:rsidRPr="00E33C1C" w:rsidRDefault="004D4DAE" w:rsidP="0086528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D4DAE" w14:paraId="13502B20" w14:textId="77777777" w:rsidTr="00B33709">
      <w:tc>
        <w:tcPr>
          <w:tcW w:w="709" w:type="dxa"/>
          <w:tcBorders>
            <w:top w:val="nil"/>
            <w:left w:val="nil"/>
            <w:bottom w:val="nil"/>
            <w:right w:val="nil"/>
          </w:tcBorders>
        </w:tcPr>
        <w:p w14:paraId="0A329558" w14:textId="77777777" w:rsidR="004D4DAE" w:rsidRDefault="004D4DAE" w:rsidP="008A04E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197F4DC" w14:textId="5B651FBE" w:rsidR="004D4DAE" w:rsidRDefault="004D4DAE" w:rsidP="008A0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271C">
            <w:rPr>
              <w:i/>
              <w:sz w:val="18"/>
            </w:rPr>
            <w:t>Anti-Money Laundering and Counter-Terrorism Financing Rules 2025</w:t>
          </w:r>
          <w:r w:rsidRPr="007A1328">
            <w:rPr>
              <w:i/>
              <w:sz w:val="18"/>
            </w:rPr>
            <w:fldChar w:fldCharType="end"/>
          </w:r>
        </w:p>
      </w:tc>
      <w:tc>
        <w:tcPr>
          <w:tcW w:w="1383" w:type="dxa"/>
          <w:tcBorders>
            <w:top w:val="nil"/>
            <w:left w:val="nil"/>
            <w:bottom w:val="nil"/>
            <w:right w:val="nil"/>
          </w:tcBorders>
        </w:tcPr>
        <w:p w14:paraId="4D9975FC" w14:textId="77777777" w:rsidR="004D4DAE" w:rsidRDefault="004D4DAE" w:rsidP="008A04E4">
          <w:pPr>
            <w:spacing w:line="0" w:lineRule="atLeast"/>
            <w:jc w:val="right"/>
            <w:rPr>
              <w:sz w:val="18"/>
            </w:rPr>
          </w:pPr>
        </w:p>
      </w:tc>
    </w:tr>
    <w:tr w:rsidR="004D4DAE" w14:paraId="7BCAD10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59337A8" w14:textId="334506E2" w:rsidR="004D4DAE" w:rsidRDefault="004D4DAE" w:rsidP="008A04E4">
          <w:pPr>
            <w:jc w:val="right"/>
            <w:rPr>
              <w:sz w:val="18"/>
            </w:rPr>
          </w:pPr>
          <w:r w:rsidRPr="00ED79B6">
            <w:rPr>
              <w:i/>
              <w:sz w:val="18"/>
            </w:rPr>
            <w:t xml:space="preserve"> </w:t>
          </w:r>
        </w:p>
      </w:tc>
    </w:tr>
  </w:tbl>
  <w:p w14:paraId="2EC16E01" w14:textId="77777777" w:rsidR="004D4DAE" w:rsidRPr="00ED79B6" w:rsidRDefault="004D4DAE" w:rsidP="007500C8">
    <w:pPr>
      <w:rPr>
        <w:i/>
        <w:sz w:val="18"/>
      </w:rPr>
    </w:pPr>
    <w:r w:rsidRPr="001769A7">
      <w:rPr>
        <w:b/>
        <w:i/>
        <w:noProof/>
        <w:sz w:val="18"/>
        <w:lang w:val="en-US"/>
      </w:rPr>
      <mc:AlternateContent>
        <mc:Choice Requires="wps">
          <w:drawing>
            <wp:anchor distT="0" distB="0" distL="114300" distR="114300" simplePos="0" relativeHeight="251653120" behindDoc="1" locked="1" layoutInCell="1" allowOverlap="1" wp14:anchorId="381C5EC7" wp14:editId="336CCC5D">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FFE5E8" w14:textId="7A7EBC30" w:rsidR="004D4DAE" w:rsidRPr="00324EB0" w:rsidRDefault="00EE271C"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1C5EC7"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77FFE5E8" w14:textId="7A7EBC30" w:rsidR="004D4DAE" w:rsidRPr="00324EB0" w:rsidRDefault="00EE271C"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F87E" w14:textId="51BF0AB1" w:rsidR="004D4DAE" w:rsidRPr="00E33C1C" w:rsidRDefault="004D4DAE" w:rsidP="0086528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D4DAE" w14:paraId="20D48B69" w14:textId="77777777" w:rsidTr="00B33709">
      <w:tc>
        <w:tcPr>
          <w:tcW w:w="1383" w:type="dxa"/>
          <w:tcBorders>
            <w:top w:val="nil"/>
            <w:left w:val="nil"/>
            <w:bottom w:val="nil"/>
            <w:right w:val="nil"/>
          </w:tcBorders>
        </w:tcPr>
        <w:p w14:paraId="6D19DDF3" w14:textId="77777777" w:rsidR="004D4DAE" w:rsidRDefault="004D4DAE" w:rsidP="008A04E4">
          <w:pPr>
            <w:spacing w:line="0" w:lineRule="atLeast"/>
            <w:rPr>
              <w:sz w:val="18"/>
            </w:rPr>
          </w:pPr>
        </w:p>
      </w:tc>
      <w:tc>
        <w:tcPr>
          <w:tcW w:w="6380" w:type="dxa"/>
          <w:tcBorders>
            <w:top w:val="nil"/>
            <w:left w:val="nil"/>
            <w:bottom w:val="nil"/>
            <w:right w:val="nil"/>
          </w:tcBorders>
        </w:tcPr>
        <w:p w14:paraId="1464ADF0" w14:textId="28FDD5EE" w:rsidR="004D4DAE" w:rsidRDefault="004D4DAE" w:rsidP="008A0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271C">
            <w:rPr>
              <w:i/>
              <w:sz w:val="18"/>
            </w:rPr>
            <w:t>Anti-Money Laundering and Counter-Terrorism Financing Rules 2025</w:t>
          </w:r>
          <w:r w:rsidRPr="007A1328">
            <w:rPr>
              <w:i/>
              <w:sz w:val="18"/>
            </w:rPr>
            <w:fldChar w:fldCharType="end"/>
          </w:r>
        </w:p>
      </w:tc>
      <w:tc>
        <w:tcPr>
          <w:tcW w:w="709" w:type="dxa"/>
          <w:tcBorders>
            <w:top w:val="nil"/>
            <w:left w:val="nil"/>
            <w:bottom w:val="nil"/>
            <w:right w:val="nil"/>
          </w:tcBorders>
        </w:tcPr>
        <w:p w14:paraId="757190FF" w14:textId="77777777" w:rsidR="004D4DAE" w:rsidRDefault="004D4DAE" w:rsidP="008A04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4D4DAE" w14:paraId="186F620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4F50FE4" w14:textId="76E49DC9" w:rsidR="004D4DAE" w:rsidRDefault="004D4DAE" w:rsidP="008A04E4">
          <w:pPr>
            <w:rPr>
              <w:sz w:val="18"/>
            </w:rPr>
          </w:pPr>
          <w:r w:rsidRPr="00ED79B6">
            <w:rPr>
              <w:i/>
              <w:sz w:val="18"/>
            </w:rPr>
            <w:t xml:space="preserve"> </w:t>
          </w:r>
        </w:p>
      </w:tc>
    </w:tr>
  </w:tbl>
  <w:p w14:paraId="040FF22C" w14:textId="77777777" w:rsidR="004D4DAE" w:rsidRPr="00ED79B6" w:rsidRDefault="004D4DAE" w:rsidP="007500C8">
    <w:pPr>
      <w:rPr>
        <w:i/>
        <w:sz w:val="18"/>
      </w:rPr>
    </w:pPr>
    <w:r w:rsidRPr="001769A7">
      <w:rPr>
        <w:b/>
        <w:i/>
        <w:noProof/>
        <w:sz w:val="18"/>
        <w:lang w:val="en-US"/>
      </w:rPr>
      <mc:AlternateContent>
        <mc:Choice Requires="wps">
          <w:drawing>
            <wp:anchor distT="0" distB="0" distL="114300" distR="114300" simplePos="0" relativeHeight="251650048" behindDoc="1" locked="1" layoutInCell="1" allowOverlap="1" wp14:anchorId="6FE8DDFB" wp14:editId="5398C9FD">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B31D36" w14:textId="2045E81F" w:rsidR="004D4DAE" w:rsidRPr="00324EB0" w:rsidRDefault="00EE271C"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E8DDFB"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0FB31D36" w14:textId="2045E81F" w:rsidR="004D4DAE" w:rsidRPr="00324EB0" w:rsidRDefault="00EE271C"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33BC5" w14:textId="24A10505" w:rsidR="004D4DAE" w:rsidRPr="008A2C51" w:rsidRDefault="004D4DAE" w:rsidP="0086528C">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4D4DAE" w:rsidRPr="008A2C51" w14:paraId="6357B825" w14:textId="77777777" w:rsidTr="0086528C">
      <w:tc>
        <w:tcPr>
          <w:tcW w:w="365" w:type="pct"/>
        </w:tcPr>
        <w:p w14:paraId="6758A0C6" w14:textId="77777777" w:rsidR="004D4DAE" w:rsidRPr="008A2C51" w:rsidRDefault="004D4DAE" w:rsidP="0086528C">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Pr>
              <w:rFonts w:eastAsia="Calibri" w:cs="Times New Roman"/>
              <w:i/>
              <w:noProof/>
              <w:sz w:val="18"/>
            </w:rPr>
            <w:t>2</w:t>
          </w:r>
          <w:r w:rsidRPr="008A2C51">
            <w:rPr>
              <w:rFonts w:eastAsia="Calibri"/>
              <w:i/>
              <w:sz w:val="18"/>
            </w:rPr>
            <w:fldChar w:fldCharType="end"/>
          </w:r>
        </w:p>
      </w:tc>
      <w:tc>
        <w:tcPr>
          <w:tcW w:w="3688" w:type="pct"/>
        </w:tcPr>
        <w:p w14:paraId="4E1CAC36" w14:textId="5A390201" w:rsidR="004D4DAE" w:rsidRPr="008A2C51" w:rsidRDefault="004D4DAE" w:rsidP="0086528C">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E271C">
            <w:rPr>
              <w:rFonts w:eastAsia="Calibri" w:cs="Times New Roman"/>
              <w:i/>
              <w:sz w:val="18"/>
            </w:rPr>
            <w:t>Anti-Money Laundering and Counter-Terrorism Financing Rules 2025</w:t>
          </w:r>
          <w:r w:rsidRPr="008A2C51">
            <w:rPr>
              <w:rFonts w:eastAsia="Calibri"/>
              <w:i/>
              <w:sz w:val="18"/>
            </w:rPr>
            <w:fldChar w:fldCharType="end"/>
          </w:r>
        </w:p>
      </w:tc>
      <w:tc>
        <w:tcPr>
          <w:tcW w:w="947" w:type="pct"/>
        </w:tcPr>
        <w:p w14:paraId="3D077D1E" w14:textId="77777777" w:rsidR="004D4DAE" w:rsidRPr="008A2C51" w:rsidRDefault="004D4DAE" w:rsidP="0086528C">
          <w:pPr>
            <w:spacing w:line="0" w:lineRule="atLeast"/>
            <w:jc w:val="right"/>
            <w:rPr>
              <w:rFonts w:eastAsia="Calibri" w:cs="Times New Roman"/>
              <w:sz w:val="18"/>
            </w:rPr>
          </w:pPr>
        </w:p>
      </w:tc>
    </w:tr>
    <w:tr w:rsidR="004D4DAE" w:rsidRPr="008A2C51" w14:paraId="39924144" w14:textId="77777777" w:rsidTr="0086528C">
      <w:tc>
        <w:tcPr>
          <w:tcW w:w="5000" w:type="pct"/>
          <w:gridSpan w:val="3"/>
        </w:tcPr>
        <w:p w14:paraId="374051E3" w14:textId="17780851" w:rsidR="004D4DAE" w:rsidRPr="008A2C51" w:rsidRDefault="004D4DAE" w:rsidP="0086528C">
          <w:pPr>
            <w:jc w:val="right"/>
            <w:rPr>
              <w:rFonts w:eastAsia="Calibri" w:cs="Times New Roman"/>
              <w:sz w:val="18"/>
            </w:rPr>
          </w:pPr>
          <w:r w:rsidRPr="008A2C51">
            <w:rPr>
              <w:rFonts w:eastAsia="Calibri" w:cs="Times New Roman"/>
              <w:i/>
              <w:sz w:val="18"/>
            </w:rPr>
            <w:t xml:space="preserve"> </w:t>
          </w:r>
        </w:p>
      </w:tc>
    </w:tr>
  </w:tbl>
  <w:p w14:paraId="3ADE9257" w14:textId="77777777" w:rsidR="004D4DAE" w:rsidRPr="008A2C51" w:rsidRDefault="004D4DAE" w:rsidP="0086528C">
    <w:pPr>
      <w:rPr>
        <w:rFonts w:eastAsia="Calibri"/>
        <w:i/>
        <w:sz w:val="18"/>
      </w:rPr>
    </w:pPr>
    <w:r w:rsidRPr="004622E0">
      <w:rPr>
        <w:rFonts w:eastAsia="Calibri"/>
        <w:b/>
        <w:i/>
        <w:noProof/>
        <w:sz w:val="18"/>
        <w:lang w:val="en-US"/>
      </w:rPr>
      <mc:AlternateContent>
        <mc:Choice Requires="wps">
          <w:drawing>
            <wp:anchor distT="0" distB="0" distL="114300" distR="114300" simplePos="0" relativeHeight="251659264" behindDoc="1" locked="1" layoutInCell="1" allowOverlap="1" wp14:anchorId="1601C4FD" wp14:editId="5CEEE743">
              <wp:simplePos x="0" y="0"/>
              <wp:positionH relativeFrom="page">
                <wp:align>center</wp:align>
              </wp:positionH>
              <wp:positionV relativeFrom="paragraph">
                <wp:posOffset>1270</wp:posOffset>
              </wp:positionV>
              <wp:extent cx="5773003" cy="395785"/>
              <wp:effectExtent l="0" t="0" r="0" b="4445"/>
              <wp:wrapNone/>
              <wp:docPr id="643" name="Text Box 643"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B3A092" w14:textId="00CE08CB" w:rsidR="004D4DAE" w:rsidRPr="00324EB0" w:rsidRDefault="00EE271C"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01C4FD" id="_x0000_t202" coordsize="21600,21600" o:spt="202" path="m,l,21600r21600,l21600,xe">
              <v:stroke joinstyle="miter"/>
              <v:path gradientshapeok="t" o:connecttype="rect"/>
            </v:shapetype>
            <v:shape id="Text Box 643" o:spid="_x0000_s1036" type="#_x0000_t202" alt="Sec-Footerevenpage" style="position:absolute;margin-left:0;margin-top:.1pt;width:454.55pt;height:31.15pt;z-index:-2516541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" stroked="f" strokeweight=".5pt">
              <v:textbox>
                <w:txbxContent>
                  <w:p w14:paraId="7FB3A092" w14:textId="00CE08CB" w:rsidR="004D4DAE" w:rsidRPr="00324EB0" w:rsidRDefault="00EE271C"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A8F4" w14:textId="2A2CFAFC" w:rsidR="004D4DAE" w:rsidRPr="008A2C51" w:rsidRDefault="004D4DAE" w:rsidP="0086528C">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D4DAE" w:rsidRPr="008A2C51" w14:paraId="12F8E91D" w14:textId="77777777" w:rsidTr="0086528C">
      <w:tc>
        <w:tcPr>
          <w:tcW w:w="947" w:type="pct"/>
        </w:tcPr>
        <w:p w14:paraId="659F6FEE" w14:textId="77777777" w:rsidR="004D4DAE" w:rsidRPr="008A2C51" w:rsidRDefault="004D4DAE" w:rsidP="0086528C">
          <w:pPr>
            <w:spacing w:line="0" w:lineRule="atLeast"/>
            <w:rPr>
              <w:rFonts w:eastAsia="Calibri"/>
              <w:sz w:val="18"/>
            </w:rPr>
          </w:pPr>
        </w:p>
      </w:tc>
      <w:tc>
        <w:tcPr>
          <w:tcW w:w="3688" w:type="pct"/>
        </w:tcPr>
        <w:p w14:paraId="3095EEC1" w14:textId="476935CE" w:rsidR="004D4DAE" w:rsidRPr="008A2C51" w:rsidRDefault="004D4DAE" w:rsidP="0086528C">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EE271C">
            <w:rPr>
              <w:rFonts w:eastAsia="Calibri"/>
              <w:i/>
              <w:sz w:val="18"/>
            </w:rPr>
            <w:t>Anti-Money Laundering and Counter-Terrorism Financing Rules 2025</w:t>
          </w:r>
          <w:r w:rsidRPr="008A2C51">
            <w:rPr>
              <w:rFonts w:eastAsia="Calibri"/>
              <w:i/>
              <w:sz w:val="18"/>
            </w:rPr>
            <w:fldChar w:fldCharType="end"/>
          </w:r>
        </w:p>
      </w:tc>
      <w:tc>
        <w:tcPr>
          <w:tcW w:w="365" w:type="pct"/>
        </w:tcPr>
        <w:p w14:paraId="02F52E2B" w14:textId="77777777" w:rsidR="004D4DAE" w:rsidRPr="008A2C51" w:rsidRDefault="004D4DAE" w:rsidP="0086528C">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1</w:t>
          </w:r>
          <w:r w:rsidRPr="008A2C51">
            <w:rPr>
              <w:rFonts w:eastAsia="Calibri"/>
              <w:i/>
              <w:sz w:val="18"/>
            </w:rPr>
            <w:fldChar w:fldCharType="end"/>
          </w:r>
        </w:p>
      </w:tc>
    </w:tr>
    <w:tr w:rsidR="004D4DAE" w:rsidRPr="008A2C51" w14:paraId="7710790F" w14:textId="77777777" w:rsidTr="0086528C">
      <w:tc>
        <w:tcPr>
          <w:tcW w:w="5000" w:type="pct"/>
          <w:gridSpan w:val="3"/>
        </w:tcPr>
        <w:p w14:paraId="7213A792" w14:textId="220A43C1" w:rsidR="004D4DAE" w:rsidRPr="008A2C51" w:rsidRDefault="004D4DAE" w:rsidP="0086528C">
          <w:pPr>
            <w:rPr>
              <w:rFonts w:eastAsia="Calibri"/>
              <w:sz w:val="18"/>
            </w:rPr>
          </w:pPr>
          <w:r w:rsidRPr="008A2C51">
            <w:rPr>
              <w:rFonts w:eastAsia="Calibri"/>
              <w:i/>
              <w:sz w:val="18"/>
            </w:rPr>
            <w:t xml:space="preserve"> </w:t>
          </w:r>
        </w:p>
      </w:tc>
    </w:tr>
  </w:tbl>
  <w:p w14:paraId="4E011961" w14:textId="77777777" w:rsidR="004D4DAE" w:rsidRPr="008A2C51" w:rsidRDefault="004D4DAE" w:rsidP="0086528C">
    <w:pPr>
      <w:rPr>
        <w:rFonts w:eastAsia="Calibri"/>
        <w:sz w:val="18"/>
      </w:rPr>
    </w:pPr>
    <w:r w:rsidRPr="004622E0">
      <w:rPr>
        <w:rFonts w:eastAsia="Calibri"/>
        <w:b/>
        <w:noProof/>
        <w:sz w:val="18"/>
        <w:lang w:val="en-US"/>
      </w:rPr>
      <mc:AlternateContent>
        <mc:Choice Requires="wps">
          <w:drawing>
            <wp:anchor distT="0" distB="0" distL="114300" distR="114300" simplePos="0" relativeHeight="251656192" behindDoc="1" locked="1" layoutInCell="1" allowOverlap="1" wp14:anchorId="542AEEDF" wp14:editId="0E1AD2AE">
              <wp:simplePos x="0" y="0"/>
              <wp:positionH relativeFrom="page">
                <wp:align>center</wp:align>
              </wp:positionH>
              <wp:positionV relativeFrom="paragraph">
                <wp:posOffset>1270</wp:posOffset>
              </wp:positionV>
              <wp:extent cx="5773003" cy="395785"/>
              <wp:effectExtent l="0" t="0" r="0" b="4445"/>
              <wp:wrapNone/>
              <wp:docPr id="644" name="Text Box 64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D1D360" w14:textId="3A5F6C55" w:rsidR="004D4DAE" w:rsidRPr="00324EB0" w:rsidRDefault="00EE271C"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2AEEDF" id="_x0000_t202" coordsize="21600,21600" o:spt="202" path="m,l,21600r21600,l21600,xe">
              <v:stroke joinstyle="miter"/>
              <v:path gradientshapeok="t" o:connecttype="rect"/>
            </v:shapetype>
            <v:shape id="Text Box 644" o:spid="_x0000_s1037" type="#_x0000_t202" alt="Sec-Footerprimary" style="position:absolute;margin-left:0;margin-top:.1pt;width:454.55pt;height:31.15pt;z-index:-2516561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" stroked="f" strokeweight=".5pt">
              <v:textbox>
                <w:txbxContent>
                  <w:p w14:paraId="65D1D360" w14:textId="3A5F6C55" w:rsidR="004D4DAE" w:rsidRPr="00324EB0" w:rsidRDefault="00EE271C"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7EAA" w14:textId="5B85D99F" w:rsidR="004D4DAE" w:rsidRPr="00E33C1C" w:rsidRDefault="004D4DAE" w:rsidP="0086528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D4DAE" w14:paraId="7A60E74F" w14:textId="77777777" w:rsidTr="0086528C">
      <w:tc>
        <w:tcPr>
          <w:tcW w:w="1384" w:type="dxa"/>
          <w:tcBorders>
            <w:top w:val="nil"/>
            <w:left w:val="nil"/>
            <w:bottom w:val="nil"/>
            <w:right w:val="nil"/>
          </w:tcBorders>
        </w:tcPr>
        <w:p w14:paraId="44BF1AF2" w14:textId="77777777" w:rsidR="004D4DAE" w:rsidRDefault="004D4DAE" w:rsidP="0086528C">
          <w:pPr>
            <w:spacing w:line="0" w:lineRule="atLeast"/>
            <w:rPr>
              <w:sz w:val="18"/>
            </w:rPr>
          </w:pPr>
        </w:p>
      </w:tc>
      <w:tc>
        <w:tcPr>
          <w:tcW w:w="6379" w:type="dxa"/>
          <w:tcBorders>
            <w:top w:val="nil"/>
            <w:left w:val="nil"/>
            <w:bottom w:val="nil"/>
            <w:right w:val="nil"/>
          </w:tcBorders>
        </w:tcPr>
        <w:p w14:paraId="727991EC" w14:textId="4019F343" w:rsidR="004D4DAE" w:rsidRDefault="004D4DAE" w:rsidP="0086528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271C">
            <w:rPr>
              <w:i/>
              <w:sz w:val="18"/>
            </w:rPr>
            <w:t>Anti-Money Laundering and Counter-Terrorism Financing Rules 2025</w:t>
          </w:r>
          <w:r w:rsidRPr="007A1328">
            <w:rPr>
              <w:i/>
              <w:sz w:val="18"/>
            </w:rPr>
            <w:fldChar w:fldCharType="end"/>
          </w:r>
        </w:p>
      </w:tc>
      <w:tc>
        <w:tcPr>
          <w:tcW w:w="709" w:type="dxa"/>
          <w:tcBorders>
            <w:top w:val="nil"/>
            <w:left w:val="nil"/>
            <w:bottom w:val="nil"/>
            <w:right w:val="nil"/>
          </w:tcBorders>
        </w:tcPr>
        <w:p w14:paraId="3CE00D09" w14:textId="77777777" w:rsidR="004D4DAE" w:rsidRDefault="004D4DAE" w:rsidP="0086528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4D4DAE" w14:paraId="1D882202" w14:textId="77777777" w:rsidTr="00865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296C81E" w14:textId="57B3F3CF" w:rsidR="004D4DAE" w:rsidRDefault="004D4DAE" w:rsidP="0086528C">
          <w:pPr>
            <w:rPr>
              <w:sz w:val="18"/>
            </w:rPr>
          </w:pPr>
          <w:r w:rsidRPr="00ED79B6">
            <w:rPr>
              <w:i/>
              <w:sz w:val="18"/>
            </w:rPr>
            <w:t xml:space="preserve"> </w:t>
          </w:r>
        </w:p>
      </w:tc>
    </w:tr>
  </w:tbl>
  <w:p w14:paraId="0A8D6AFD" w14:textId="77777777" w:rsidR="004D4DAE" w:rsidRPr="00ED79B6" w:rsidRDefault="004D4DAE" w:rsidP="0086528C">
    <w:pPr>
      <w:rPr>
        <w:i/>
        <w:sz w:val="18"/>
      </w:rPr>
    </w:pPr>
  </w:p>
  <w:p w14:paraId="6E4E3197" w14:textId="77777777" w:rsidR="004D4DAE" w:rsidRPr="0086528C" w:rsidRDefault="004D4DAE" w:rsidP="0086528C">
    <w:pPr>
      <w:pStyle w:val="Footer"/>
      <w:rPr>
        <w:rFonts w:eastAsia="Calibri"/>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DEB6" w14:textId="7BA5C6F3" w:rsidR="004D4DAE" w:rsidRPr="008A2C51" w:rsidRDefault="004D4DAE" w:rsidP="0086528C">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4D4DAE" w:rsidRPr="008A2C51" w14:paraId="45AFFAEF" w14:textId="77777777" w:rsidTr="0086528C">
      <w:tc>
        <w:tcPr>
          <w:tcW w:w="365" w:type="pct"/>
        </w:tcPr>
        <w:p w14:paraId="3B45CF66" w14:textId="77777777" w:rsidR="004D4DAE" w:rsidRPr="008A2C51" w:rsidRDefault="004D4DAE" w:rsidP="0086528C">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Pr>
              <w:rFonts w:eastAsia="Calibri" w:cs="Times New Roman"/>
              <w:i/>
              <w:noProof/>
              <w:sz w:val="18"/>
            </w:rPr>
            <w:t>2</w:t>
          </w:r>
          <w:r w:rsidRPr="008A2C51">
            <w:rPr>
              <w:rFonts w:eastAsia="Calibri"/>
              <w:i/>
              <w:sz w:val="18"/>
            </w:rPr>
            <w:fldChar w:fldCharType="end"/>
          </w:r>
        </w:p>
      </w:tc>
      <w:tc>
        <w:tcPr>
          <w:tcW w:w="3688" w:type="pct"/>
        </w:tcPr>
        <w:p w14:paraId="00324963" w14:textId="37F0FE13" w:rsidR="004D4DAE" w:rsidRPr="008A2C51" w:rsidRDefault="004D4DAE" w:rsidP="0086528C">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E271C">
            <w:rPr>
              <w:rFonts w:eastAsia="Calibri" w:cs="Times New Roman"/>
              <w:i/>
              <w:sz w:val="18"/>
            </w:rPr>
            <w:t>Anti-Money Laundering and Counter-Terrorism Financing Rules 2025</w:t>
          </w:r>
          <w:r w:rsidRPr="008A2C51">
            <w:rPr>
              <w:rFonts w:eastAsia="Calibri"/>
              <w:i/>
              <w:sz w:val="18"/>
            </w:rPr>
            <w:fldChar w:fldCharType="end"/>
          </w:r>
        </w:p>
      </w:tc>
      <w:tc>
        <w:tcPr>
          <w:tcW w:w="947" w:type="pct"/>
        </w:tcPr>
        <w:p w14:paraId="2435F976" w14:textId="77777777" w:rsidR="004D4DAE" w:rsidRPr="008A2C51" w:rsidRDefault="004D4DAE" w:rsidP="0086528C">
          <w:pPr>
            <w:spacing w:line="0" w:lineRule="atLeast"/>
            <w:jc w:val="right"/>
            <w:rPr>
              <w:rFonts w:eastAsia="Calibri" w:cs="Times New Roman"/>
              <w:sz w:val="18"/>
            </w:rPr>
          </w:pPr>
        </w:p>
      </w:tc>
    </w:tr>
    <w:tr w:rsidR="004D4DAE" w:rsidRPr="008A2C51" w14:paraId="6056FA33" w14:textId="77777777" w:rsidTr="0086528C">
      <w:tc>
        <w:tcPr>
          <w:tcW w:w="5000" w:type="pct"/>
          <w:gridSpan w:val="3"/>
        </w:tcPr>
        <w:p w14:paraId="0B3A8D9A" w14:textId="27C8E274" w:rsidR="004D4DAE" w:rsidRPr="008A2C51" w:rsidRDefault="004D4DAE" w:rsidP="0086528C">
          <w:pPr>
            <w:jc w:val="right"/>
            <w:rPr>
              <w:rFonts w:eastAsia="Calibri" w:cs="Times New Roman"/>
              <w:sz w:val="18"/>
            </w:rPr>
          </w:pPr>
          <w:r w:rsidRPr="008A2C51">
            <w:rPr>
              <w:rFonts w:eastAsia="Calibri" w:cs="Times New Roman"/>
              <w:i/>
              <w:sz w:val="18"/>
            </w:rPr>
            <w:t xml:space="preserve"> </w:t>
          </w:r>
        </w:p>
      </w:tc>
    </w:tr>
  </w:tbl>
  <w:p w14:paraId="03C96BA5" w14:textId="77777777" w:rsidR="004D4DAE" w:rsidRPr="008A2C51" w:rsidRDefault="004D4DAE" w:rsidP="0086528C">
    <w:pPr>
      <w:rPr>
        <w:rFonts w:eastAsia="Calibri"/>
        <w:i/>
        <w:sz w:val="18"/>
      </w:rPr>
    </w:pPr>
    <w:r w:rsidRPr="004622E0">
      <w:rPr>
        <w:rFonts w:eastAsia="Calibri"/>
        <w:b/>
        <w:i/>
        <w:noProof/>
        <w:sz w:val="18"/>
        <w:lang w:val="en-US"/>
      </w:rPr>
      <mc:AlternateContent>
        <mc:Choice Requires="wps">
          <w:drawing>
            <wp:anchor distT="0" distB="0" distL="114300" distR="114300" simplePos="0" relativeHeight="251667456" behindDoc="1" locked="1" layoutInCell="1" allowOverlap="1" wp14:anchorId="56862512" wp14:editId="734918A6">
              <wp:simplePos x="0" y="0"/>
              <wp:positionH relativeFrom="page">
                <wp:align>center</wp:align>
              </wp:positionH>
              <wp:positionV relativeFrom="paragraph">
                <wp:posOffset>1270</wp:posOffset>
              </wp:positionV>
              <wp:extent cx="5773003" cy="395785"/>
              <wp:effectExtent l="0" t="0" r="0" b="4445"/>
              <wp:wrapNone/>
              <wp:docPr id="648" name="Text Box 648"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0AAEE8" w14:textId="01EBB87E" w:rsidR="004D4DAE" w:rsidRPr="00324EB0" w:rsidRDefault="00EE271C"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862512" id="_x0000_t202" coordsize="21600,21600" o:spt="202" path="m,l,21600r21600,l21600,xe">
              <v:stroke joinstyle="miter"/>
              <v:path gradientshapeok="t" o:connecttype="rect"/>
            </v:shapetype>
            <v:shape id="Text Box 648" o:spid="_x0000_s1040" type="#_x0000_t202" alt="Sec-Footerevenpage" style="position:absolute;margin-left:0;margin-top:.1pt;width:454.55pt;height:31.15pt;z-index:-2516439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jzgA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" stroked="f" strokeweight=".5pt">
              <v:textbox>
                <w:txbxContent>
                  <w:p w14:paraId="150AAEE8" w14:textId="01EBB87E" w:rsidR="004D4DAE" w:rsidRPr="00324EB0" w:rsidRDefault="00EE271C"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0D905" w14:textId="77777777" w:rsidR="004D4DAE" w:rsidRDefault="004D4DAE" w:rsidP="00715914">
      <w:pPr>
        <w:spacing w:line="240" w:lineRule="auto"/>
      </w:pPr>
      <w:r>
        <w:separator/>
      </w:r>
    </w:p>
  </w:footnote>
  <w:footnote w:type="continuationSeparator" w:id="0">
    <w:p w14:paraId="2D7EFA15" w14:textId="77777777" w:rsidR="004D4DAE" w:rsidRDefault="004D4DA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BCC7" w14:textId="77777777" w:rsidR="004D4DAE" w:rsidRPr="005F1388" w:rsidRDefault="004D4DAE"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60288" behindDoc="1" locked="1" layoutInCell="1" allowOverlap="1" wp14:anchorId="448467EE" wp14:editId="2693F106">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015197" w14:textId="4F4DD0F5" w:rsidR="004D4DAE" w:rsidRPr="00324EB0" w:rsidRDefault="00EE271C"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8467EE"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69015197" w14:textId="4F4DD0F5" w:rsidR="004D4DAE" w:rsidRPr="00324EB0" w:rsidRDefault="00EE271C"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5EAB7" w14:textId="3A479F2D" w:rsidR="004D4DAE" w:rsidRPr="008A2C51" w:rsidRDefault="004D4DAE">
    <w:pPr>
      <w:jc w:val="right"/>
      <w:rPr>
        <w:sz w:val="20"/>
      </w:rPr>
    </w:pPr>
    <w:r w:rsidRPr="004622E0">
      <w:rPr>
        <w:b/>
        <w:noProof/>
        <w:sz w:val="20"/>
        <w:lang w:val="en-US"/>
      </w:rPr>
      <mc:AlternateContent>
        <mc:Choice Requires="wps">
          <w:drawing>
            <wp:anchor distT="0" distB="0" distL="114300" distR="114300" simplePos="0" relativeHeight="251661312" behindDoc="1" locked="1" layoutInCell="1" allowOverlap="1" wp14:anchorId="5126D256" wp14:editId="59601804">
              <wp:simplePos x="0" y="0"/>
              <wp:positionH relativeFrom="page">
                <wp:align>center</wp:align>
              </wp:positionH>
              <wp:positionV relativeFrom="paragraph">
                <wp:posOffset>-317500</wp:posOffset>
              </wp:positionV>
              <wp:extent cx="5773003" cy="395785"/>
              <wp:effectExtent l="0" t="0" r="0" b="4445"/>
              <wp:wrapNone/>
              <wp:docPr id="647" name="Text Box 64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B86632" w14:textId="3D23E195" w:rsidR="004D4DAE" w:rsidRPr="00324EB0" w:rsidRDefault="00EE271C"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26D256" id="_x0000_t202" coordsize="21600,21600" o:spt="202" path="m,l,21600r21600,l21600,xe">
              <v:stroke joinstyle="miter"/>
              <v:path gradientshapeok="t" o:connecttype="rect"/>
            </v:shapetype>
            <v:shape id="Text Box 647" o:spid="_x0000_s1039" type="#_x0000_t202" alt="Sec-Headerprimary" style="position:absolute;left:0;text-align:left;margin-left:0;margin-top:-25pt;width:454.55pt;height:31.15pt;z-index:-2516520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W0gQ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" stroked="f" strokeweight=".5pt">
              <v:textbox>
                <w:txbxContent>
                  <w:p w14:paraId="34B86632" w14:textId="3D23E195" w:rsidR="004D4DAE" w:rsidRPr="00324EB0" w:rsidRDefault="00EE271C"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8A2C51">
      <w:rPr>
        <w:sz w:val="20"/>
      </w:rPr>
      <w:fldChar w:fldCharType="begin"/>
    </w:r>
    <w:r w:rsidRPr="008A2C51">
      <w:rPr>
        <w:sz w:val="20"/>
      </w:rPr>
      <w:instrText xml:space="preserve"> STYLEREF CharChapText </w:instrText>
    </w:r>
    <w:r w:rsidRPr="008A2C51">
      <w:rPr>
        <w:sz w:val="20"/>
      </w:rPr>
      <w:fldChar w:fldCharType="separate"/>
    </w:r>
    <w:r w:rsidR="00E81128">
      <w:rPr>
        <w:noProof/>
        <w:sz w:val="20"/>
      </w:rPr>
      <w:t>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E81128">
      <w:rPr>
        <w:b/>
        <w:noProof/>
        <w:sz w:val="20"/>
      </w:rPr>
      <w:t>Schedule 1</w:t>
    </w:r>
    <w:r w:rsidRPr="008A2C51">
      <w:rPr>
        <w:b/>
        <w:sz w:val="20"/>
      </w:rPr>
      <w:fldChar w:fldCharType="end"/>
    </w:r>
  </w:p>
  <w:p w14:paraId="301A3477" w14:textId="524EFEAC" w:rsidR="004D4DAE" w:rsidRPr="008A2C51" w:rsidRDefault="004D4DAE">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785B85BB" w14:textId="393D4231" w:rsidR="004D4DAE" w:rsidRDefault="004D4DAE" w:rsidP="0086528C">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separate"/>
    </w:r>
    <w:r w:rsidR="00E81128">
      <w:rPr>
        <w:noProof/>
        <w:sz w:val="20"/>
      </w:rPr>
      <w:t>Application to issue extension notice</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E81128">
      <w:rPr>
        <w:b/>
        <w:noProof/>
        <w:sz w:val="20"/>
      </w:rPr>
      <w:t>Form 3</w:t>
    </w:r>
    <w:r>
      <w:rPr>
        <w:b/>
        <w:sz w:val="20"/>
      </w:rPr>
      <w:fldChar w:fldCharType="end"/>
    </w:r>
  </w:p>
  <w:p w14:paraId="6A26423B" w14:textId="77777777" w:rsidR="004D4DAE" w:rsidRPr="004622E0" w:rsidRDefault="004D4DAE" w:rsidP="0086528C">
    <w:pPr>
      <w:pBdr>
        <w:bottom w:val="single" w:sz="6" w:space="1" w:color="auto"/>
      </w:pBdr>
      <w:jc w:val="right"/>
      <w:rPr>
        <w:b/>
      </w:rPr>
    </w:pPr>
  </w:p>
  <w:p w14:paraId="58C7AF78" w14:textId="77777777" w:rsidR="004D4DAE" w:rsidRPr="008A2C51" w:rsidRDefault="004D4DAE" w:rsidP="0086528C">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2A6C" w14:textId="77777777" w:rsidR="004D4DAE" w:rsidRDefault="004D4DAE">
    <w:r w:rsidRPr="00324EB0">
      <w:rPr>
        <w:b/>
        <w:noProof/>
        <w:lang w:val="en-US"/>
      </w:rPr>
      <mc:AlternateContent>
        <mc:Choice Requires="wps">
          <w:drawing>
            <wp:anchor distT="0" distB="0" distL="114300" distR="114300" simplePos="0" relativeHeight="251668480" behindDoc="1" locked="1" layoutInCell="1" allowOverlap="1" wp14:anchorId="3008C00B" wp14:editId="5ABC4022">
              <wp:simplePos x="0" y="0"/>
              <wp:positionH relativeFrom="page">
                <wp:align>center</wp:align>
              </wp:positionH>
              <wp:positionV relativeFrom="paragraph">
                <wp:posOffset>-317500</wp:posOffset>
              </wp:positionV>
              <wp:extent cx="5773003" cy="395785"/>
              <wp:effectExtent l="0" t="0" r="0" b="4445"/>
              <wp:wrapNone/>
              <wp:docPr id="650" name="Text Box 650"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278980" w14:textId="1A964B17" w:rsidR="004D4DAE" w:rsidRPr="00324EB0" w:rsidRDefault="00EE271C"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08C00B" id="_x0000_t202" coordsize="21600,21600" o:spt="202" path="m,l,21600r21600,l21600,xe">
              <v:stroke joinstyle="miter"/>
              <v:path gradientshapeok="t" o:connecttype="rect"/>
            </v:shapetype>
            <v:shape id="Text Box 650" o:spid="_x0000_s1042" type="#_x0000_t202" alt="Sec-Headerfirstpage" style="position:absolute;margin-left:0;margin-top:-25pt;width:454.55pt;height:31.15pt;z-index:-2516264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GgFmgoACAABu&#10;BQAADgAAAAAAAAAAAAAAAAAuAgAAZHJzL2Uyb0RvYy54bWxQSwECLQAUAAYACAAAACEARkHJhtsA&#10;AAAHAQAADwAAAAAAAAAAAAAAAADaBAAAZHJzL2Rvd25yZXYueG1sUEsFBgAAAAAEAAQA8wAAAOIF&#10;AAAAAA==&#10;" stroked="f" strokeweight=".5pt">
              <v:textbox>
                <w:txbxContent>
                  <w:p w14:paraId="0A278980" w14:textId="1A964B17" w:rsidR="004D4DAE" w:rsidRPr="00324EB0" w:rsidRDefault="00EE271C"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0C5C" w14:textId="5F92D40C" w:rsidR="004D4DAE" w:rsidRDefault="004D4DAE" w:rsidP="00715914">
    <w:pPr>
      <w:rPr>
        <w:sz w:val="20"/>
      </w:rPr>
    </w:pPr>
    <w:r w:rsidRPr="001769A7">
      <w:rPr>
        <w:b/>
        <w:noProof/>
        <w:sz w:val="20"/>
        <w:lang w:val="en-US"/>
      </w:rPr>
      <mc:AlternateContent>
        <mc:Choice Requires="wps">
          <w:drawing>
            <wp:anchor distT="0" distB="0" distL="114300" distR="114300" simplePos="0" relativeHeight="251649024" behindDoc="1" locked="1" layoutInCell="1" allowOverlap="1" wp14:anchorId="604CEB97" wp14:editId="01F6FAE4">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3C54EF" w14:textId="37A36593" w:rsidR="004D4DAE" w:rsidRPr="00324EB0" w:rsidRDefault="00EE271C"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4CEB97" id="_x0000_t202" coordsize="21600,21600" o:spt="202" path="m,l,21600r21600,l21600,xe">
              <v:stroke joinstyle="miter"/>
              <v:path gradientshapeok="t" o:connecttype="rect"/>
            </v:shapetype>
            <v:shape id="Text Box 29" o:spid="_x0000_s1044" type="#_x0000_t202" alt="Sec-Headerevenpage" style="position:absolute;margin-left:0;margin-top:-25pt;width:454.55pt;height:31.15pt;z-index:-2516643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wMgAIAAG4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HBkwNWBAiso98gMB+3QeMsXCp9vyXx4ZA6nBMmAkx8e8JAasPvQ&#10;SZRswP362/eIR/KilpIap66g/ueWOUGJ/mqQ1te94TCOaboMR+M+Xty5ZnWuMdvqFpAVPdwxlicx&#10;4oM+iNJB9YILYh6joooZjrELGg7ibWh3AS4YLubzBMLBtCwszZPl0XVscyTnc/PCnO0YHJD793CY&#10;TzZ5Q+QWGy0NzLcBpEosj41uu9o9AA51mpNuAcWtcX5PqNOanL0C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ZiqcDIACAABu&#10;BQAADgAAAAAAAAAAAAAAAAAuAgAAZHJzL2Uyb0RvYy54bWxQSwECLQAUAAYACAAAACEARkHJhtsA&#10;AAAHAQAADwAAAAAAAAAAAAAAAADaBAAAZHJzL2Rvd25yZXYueG1sUEsFBgAAAAAEAAQA8wAAAOIF&#10;AAAAAA==&#10;" stroked="f" strokeweight=".5pt">
              <v:textbox>
                <w:txbxContent>
                  <w:p w14:paraId="723C54EF" w14:textId="37A36593" w:rsidR="004D4DAE" w:rsidRPr="00324EB0" w:rsidRDefault="00EE271C"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EE271C">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E271C">
      <w:rPr>
        <w:noProof/>
        <w:sz w:val="20"/>
      </w:rPr>
      <w:t>Forms</w:t>
    </w:r>
    <w:r>
      <w:rPr>
        <w:sz w:val="20"/>
      </w:rPr>
      <w:fldChar w:fldCharType="end"/>
    </w:r>
  </w:p>
  <w:p w14:paraId="28B1D5C1" w14:textId="3AE57D4F" w:rsidR="004D4DAE" w:rsidRDefault="004D4DA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96206A8" w14:textId="650087FA" w:rsidR="004D4DAE" w:rsidRPr="007A1328" w:rsidRDefault="004D4DAE" w:rsidP="00715914">
    <w:pPr>
      <w:rPr>
        <w:sz w:val="20"/>
      </w:rPr>
    </w:pPr>
    <w:r>
      <w:rPr>
        <w:b/>
        <w:sz w:val="20"/>
      </w:rPr>
      <w:fldChar w:fldCharType="begin"/>
    </w:r>
    <w:r>
      <w:rPr>
        <w:b/>
        <w:sz w:val="20"/>
      </w:rPr>
      <w:instrText xml:space="preserve"> STYLEREF CharDivNo </w:instrText>
    </w:r>
    <w:r>
      <w:rPr>
        <w:b/>
        <w:sz w:val="20"/>
      </w:rPr>
      <w:fldChar w:fldCharType="separate"/>
    </w:r>
    <w:r w:rsidR="00EE271C">
      <w:rPr>
        <w:b/>
        <w:noProof/>
        <w:sz w:val="20"/>
      </w:rPr>
      <w:t>Form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EE271C">
      <w:rPr>
        <w:noProof/>
        <w:sz w:val="20"/>
      </w:rPr>
      <w:t>Application to issue extension notice</w:t>
    </w:r>
    <w:r>
      <w:rPr>
        <w:sz w:val="20"/>
      </w:rPr>
      <w:fldChar w:fldCharType="end"/>
    </w:r>
  </w:p>
  <w:p w14:paraId="50A6480D" w14:textId="77777777" w:rsidR="004D4DAE" w:rsidRPr="007A1328" w:rsidRDefault="004D4DAE" w:rsidP="00715914">
    <w:pPr>
      <w:rPr>
        <w:b/>
        <w:sz w:val="24"/>
      </w:rPr>
    </w:pPr>
  </w:p>
  <w:p w14:paraId="1626FF94" w14:textId="58E89941" w:rsidR="004D4DAE" w:rsidRPr="007A1328" w:rsidRDefault="004D4DAE" w:rsidP="0086528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E271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E271C">
      <w:rPr>
        <w:noProof/>
        <w:sz w:val="24"/>
      </w:rPr>
      <w:t>10-3</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AFDE" w14:textId="53256CC7" w:rsidR="004D4DAE" w:rsidRPr="007A1328" w:rsidRDefault="004D4DAE" w:rsidP="00715914">
    <w:pPr>
      <w:jc w:val="right"/>
      <w:rPr>
        <w:sz w:val="20"/>
      </w:rPr>
    </w:pPr>
    <w:r w:rsidRPr="001769A7">
      <w:rPr>
        <w:b/>
        <w:noProof/>
        <w:sz w:val="20"/>
        <w:lang w:val="en-US"/>
      </w:rPr>
      <mc:AlternateContent>
        <mc:Choice Requires="wps">
          <w:drawing>
            <wp:anchor distT="0" distB="0" distL="114300" distR="114300" simplePos="0" relativeHeight="251646976" behindDoc="1" locked="1" layoutInCell="1" allowOverlap="1" wp14:anchorId="7B03BA0B" wp14:editId="59052132">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973451" w14:textId="5290E188" w:rsidR="004D4DAE" w:rsidRPr="00324EB0" w:rsidRDefault="00EE271C"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03BA0B" id="_x0000_t202" coordsize="21600,21600" o:spt="202" path="m,l,21600r21600,l21600,xe">
              <v:stroke joinstyle="miter"/>
              <v:path gradientshapeok="t" o:connecttype="rect"/>
            </v:shapetype>
            <v:shape id="Text Box 27" o:spid="_x0000_s1045" type="#_x0000_t202" alt="Sec-Headerprimary" style="position:absolute;left:0;text-align:left;margin-left:0;margin-top:-25pt;width:454.55pt;height:31.15pt;z-index:-2516684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PZgAIAAG4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HIgPGBAiso98gMB+3QeMsXCp/vnvnwxBxOCZIBJz884iE1YPeh&#10;kyjZgPv1t+8Rj+RFLSU1Tl1B/c8tc4IS/dUgrcf9y8s4pulyORxd4MWda1bnGrOt5oCs6OOOsTyJ&#10;ER/0QZQOqhdcELMYFVXMcIxd0HAQ56HdBbhguJjNEggH07Jwb5aWR9exzZGcz80Lc7ZjcEDuP8Bh&#10;PtnkDZFbbLQ0MNsGkCqxPDa67Wr3ADjUaU66BRS3xvk9oU5rcvoK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GZjT2YACAABu&#10;BQAADgAAAAAAAAAAAAAAAAAuAgAAZHJzL2Uyb0RvYy54bWxQSwECLQAUAAYACAAAACEARkHJhtsA&#10;AAAHAQAADwAAAAAAAAAAAAAAAADaBAAAZHJzL2Rvd25yZXYueG1sUEsFBgAAAAAEAAQA8wAAAOIF&#10;AAAAAA==&#10;" stroked="f" strokeweight=".5pt">
              <v:textbox>
                <w:txbxContent>
                  <w:p w14:paraId="1D973451" w14:textId="5290E188" w:rsidR="004D4DAE" w:rsidRPr="00324EB0" w:rsidRDefault="00EE271C"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EE271C">
      <w:rPr>
        <w:noProof/>
        <w:sz w:val="20"/>
      </w:rPr>
      <w:t>Forms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E271C">
      <w:rPr>
        <w:b/>
        <w:noProof/>
        <w:sz w:val="20"/>
      </w:rPr>
      <w:t>Schedule 1</w:t>
    </w:r>
    <w:r>
      <w:rPr>
        <w:b/>
        <w:sz w:val="20"/>
      </w:rPr>
      <w:fldChar w:fldCharType="end"/>
    </w:r>
  </w:p>
  <w:p w14:paraId="6B829038" w14:textId="30C334BA" w:rsidR="004D4DAE" w:rsidRPr="007A1328" w:rsidRDefault="004D4DA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AE39382" w14:textId="3FDA26D1" w:rsidR="004D4DAE" w:rsidRPr="007A1328" w:rsidRDefault="004D4DA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EE271C">
      <w:rPr>
        <w:noProof/>
        <w:sz w:val="20"/>
      </w:rPr>
      <w:t>Application to issue extension notice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EE271C">
      <w:rPr>
        <w:b/>
        <w:noProof/>
        <w:sz w:val="20"/>
      </w:rPr>
      <w:t>Form 3</w:t>
    </w:r>
    <w:r>
      <w:rPr>
        <w:b/>
        <w:sz w:val="20"/>
      </w:rPr>
      <w:fldChar w:fldCharType="end"/>
    </w:r>
  </w:p>
  <w:p w14:paraId="579E89B6" w14:textId="77777777" w:rsidR="004D4DAE" w:rsidRPr="007A1328" w:rsidRDefault="004D4DAE" w:rsidP="00715914">
    <w:pPr>
      <w:jc w:val="right"/>
      <w:rPr>
        <w:b/>
        <w:sz w:val="24"/>
      </w:rPr>
    </w:pPr>
  </w:p>
  <w:p w14:paraId="781600C0" w14:textId="15057118" w:rsidR="004D4DAE" w:rsidRPr="007A1328" w:rsidRDefault="004D4DAE" w:rsidP="0086528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E271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E271C">
      <w:rPr>
        <w:noProof/>
        <w:sz w:val="24"/>
      </w:rPr>
      <w:t>10-3</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6E474" w14:textId="77777777" w:rsidR="004D4DAE" w:rsidRPr="007A1328" w:rsidRDefault="004D4DAE"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81B2" w14:textId="77777777" w:rsidR="004D4DAE" w:rsidRPr="005F1388" w:rsidRDefault="004D4DAE"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5168" behindDoc="1" locked="1" layoutInCell="1" allowOverlap="1" wp14:anchorId="14924BAC" wp14:editId="4B6DCCD1">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6056C6" w14:textId="29250559" w:rsidR="004D4DAE" w:rsidRPr="00324EB0" w:rsidRDefault="00EE271C"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924BAC"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196056C6" w14:textId="29250559" w:rsidR="004D4DAE" w:rsidRPr="00324EB0" w:rsidRDefault="00EE271C"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004FA" w14:textId="77777777" w:rsidR="004D4DAE" w:rsidRPr="005F1388" w:rsidRDefault="004D4DA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5877" w14:textId="77777777" w:rsidR="004D4DAE" w:rsidRPr="00ED79B6" w:rsidRDefault="004D4DAE"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3360" behindDoc="1" locked="1" layoutInCell="1" allowOverlap="1" wp14:anchorId="64D41AF4" wp14:editId="381AE133">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7FE6BE" w14:textId="4DDEAFA0" w:rsidR="004D4DAE" w:rsidRPr="00324EB0" w:rsidRDefault="00EE271C"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D41AF4"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0C7FE6BE" w14:textId="4DDEAFA0" w:rsidR="004D4DAE" w:rsidRPr="00324EB0" w:rsidRDefault="00EE271C"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FEA9" w14:textId="77777777" w:rsidR="004D4DAE" w:rsidRPr="00ED79B6" w:rsidRDefault="004D4DAE"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58240" behindDoc="1" locked="1" layoutInCell="1" allowOverlap="1" wp14:anchorId="7A3E4434" wp14:editId="41CB878F">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43F8C4" w14:textId="45357A93" w:rsidR="004D4DAE" w:rsidRPr="00324EB0" w:rsidRDefault="00EE271C"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3E4434"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6C43F8C4" w14:textId="45357A93" w:rsidR="004D4DAE" w:rsidRPr="00324EB0" w:rsidRDefault="00EE271C"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9F57" w14:textId="77777777" w:rsidR="004D4DAE" w:rsidRPr="00ED79B6" w:rsidRDefault="004D4DA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AA39" w14:textId="1A61325E" w:rsidR="004D4DAE" w:rsidRPr="008A2C51" w:rsidRDefault="004D4DAE" w:rsidP="0086528C">
    <w:pPr>
      <w:rPr>
        <w:rFonts w:eastAsia="Calibri"/>
        <w:sz w:val="20"/>
      </w:rPr>
    </w:pPr>
    <w:r w:rsidRPr="004622E0">
      <w:rPr>
        <w:rFonts w:eastAsia="Calibri"/>
        <w:b/>
        <w:noProof/>
        <w:sz w:val="20"/>
        <w:lang w:val="en-US"/>
      </w:rPr>
      <mc:AlternateContent>
        <mc:Choice Requires="wps">
          <w:drawing>
            <wp:anchor distT="0" distB="0" distL="114300" distR="114300" simplePos="0" relativeHeight="251654144" behindDoc="1" locked="1" layoutInCell="1" allowOverlap="1" wp14:anchorId="2789C6A7" wp14:editId="6B96C30A">
              <wp:simplePos x="0" y="0"/>
              <wp:positionH relativeFrom="page">
                <wp:align>center</wp:align>
              </wp:positionH>
              <wp:positionV relativeFrom="paragraph">
                <wp:posOffset>-317500</wp:posOffset>
              </wp:positionV>
              <wp:extent cx="5773003" cy="395785"/>
              <wp:effectExtent l="0" t="0" r="0" b="4445"/>
              <wp:wrapNone/>
              <wp:docPr id="641" name="Text Box 64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3B0959" w14:textId="1C56D184" w:rsidR="004D4DAE" w:rsidRPr="00324EB0" w:rsidRDefault="00EE271C"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89C6A7" id="_x0000_t202" coordsize="21600,21600" o:spt="202" path="m,l,21600r21600,l21600,xe">
              <v:stroke joinstyle="miter"/>
              <v:path gradientshapeok="t" o:connecttype="rect"/>
            </v:shapetype>
            <v:shape id="Text Box 641" o:spid="_x0000_s1034" type="#_x0000_t202" alt="Sec-Headerevenpage" style="position:absolute;margin-left:0;margin-top:-2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3B3B0959" w14:textId="1C56D184" w:rsidR="004D4DAE" w:rsidRPr="00324EB0" w:rsidRDefault="00EE271C"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14:paraId="0BA12533" w14:textId="7E4AAFEF" w:rsidR="004D4DAE" w:rsidRPr="008A2C51" w:rsidRDefault="004D4DAE" w:rsidP="0086528C">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600906">
      <w:rPr>
        <w:rFonts w:eastAsia="Calibri"/>
        <w:b/>
        <w:noProof/>
        <w:sz w:val="20"/>
      </w:rPr>
      <w:t>Part 2</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600906">
      <w:rPr>
        <w:rFonts w:eastAsia="Calibri"/>
        <w:noProof/>
        <w:sz w:val="20"/>
      </w:rPr>
      <w:t>Enrolment</w:t>
    </w:r>
    <w:r w:rsidRPr="008A2C51">
      <w:rPr>
        <w:rFonts w:eastAsia="Calibri"/>
        <w:sz w:val="20"/>
      </w:rPr>
      <w:fldChar w:fldCharType="end"/>
    </w:r>
  </w:p>
  <w:p w14:paraId="401CDCDC" w14:textId="40C804A7" w:rsidR="004D4DAE" w:rsidRPr="008A2C51" w:rsidRDefault="004D4DAE" w:rsidP="0086528C">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00600906">
      <w:rPr>
        <w:rFonts w:eastAsia="Calibri"/>
        <w:b/>
        <w:sz w:val="20"/>
      </w:rPr>
      <w:fldChar w:fldCharType="separate"/>
    </w:r>
    <w:r w:rsidR="00600906">
      <w:rPr>
        <w:rFonts w:eastAsia="Calibri"/>
        <w:b/>
        <w:noProof/>
        <w:sz w:val="20"/>
      </w:rPr>
      <w:t>Division 2</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00600906">
      <w:rPr>
        <w:rFonts w:eastAsia="Calibri"/>
        <w:sz w:val="20"/>
      </w:rPr>
      <w:fldChar w:fldCharType="separate"/>
    </w:r>
    <w:r w:rsidR="00600906">
      <w:rPr>
        <w:rFonts w:eastAsia="Calibri"/>
        <w:noProof/>
        <w:sz w:val="20"/>
      </w:rPr>
      <w:t>Correction and removal of enrolment details</w:t>
    </w:r>
    <w:r w:rsidRPr="008A2C51">
      <w:rPr>
        <w:rFonts w:eastAsia="Calibri"/>
        <w:sz w:val="20"/>
      </w:rPr>
      <w:fldChar w:fldCharType="end"/>
    </w:r>
  </w:p>
  <w:p w14:paraId="2E51BAC4" w14:textId="77777777" w:rsidR="004D4DAE" w:rsidRPr="008A2C51" w:rsidRDefault="004D4DAE" w:rsidP="0086528C">
    <w:pPr>
      <w:rPr>
        <w:rFonts w:eastAsia="Calibri"/>
        <w:b/>
        <w:sz w:val="24"/>
      </w:rPr>
    </w:pPr>
  </w:p>
  <w:p w14:paraId="1076B8B0" w14:textId="185BD0D8" w:rsidR="004D4DAE" w:rsidRPr="008A2C51" w:rsidRDefault="004D4DAE" w:rsidP="0086528C">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EE271C">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600906">
      <w:rPr>
        <w:rFonts w:eastAsia="Calibri"/>
        <w:noProof/>
        <w:sz w:val="24"/>
      </w:rPr>
      <w:t>2-5</w:t>
    </w:r>
    <w:r w:rsidRPr="008A2C51">
      <w:rPr>
        <w:rFonts w:eastAsia="Calibri"/>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2C04D" w14:textId="49B8CE5E" w:rsidR="004D4DAE" w:rsidRDefault="004D4DAE">
    <w:pPr>
      <w:jc w:val="right"/>
      <w:rPr>
        <w:sz w:val="20"/>
      </w:rPr>
    </w:pPr>
    <w:r w:rsidRPr="004622E0">
      <w:rPr>
        <w:b/>
        <w:noProof/>
        <w:sz w:val="20"/>
        <w:lang w:val="en-US"/>
      </w:rPr>
      <mc:AlternateContent>
        <mc:Choice Requires="wps">
          <w:drawing>
            <wp:anchor distT="0" distB="0" distL="114300" distR="114300" simplePos="0" relativeHeight="251652096" behindDoc="1" locked="1" layoutInCell="1" allowOverlap="1" wp14:anchorId="11C556B0" wp14:editId="5A9B61BF">
              <wp:simplePos x="0" y="0"/>
              <wp:positionH relativeFrom="page">
                <wp:align>center</wp:align>
              </wp:positionH>
              <wp:positionV relativeFrom="paragraph">
                <wp:posOffset>-317500</wp:posOffset>
              </wp:positionV>
              <wp:extent cx="5773003" cy="395785"/>
              <wp:effectExtent l="0" t="0" r="0" b="4445"/>
              <wp:wrapNone/>
              <wp:docPr id="642" name="Text Box 64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8DD7FB" w14:textId="1C13B1B8" w:rsidR="004D4DAE" w:rsidRPr="00324EB0" w:rsidRDefault="00EE271C"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C556B0" id="_x0000_t202" coordsize="21600,21600" o:spt="202" path="m,l,21600r21600,l21600,xe">
              <v:stroke joinstyle="miter"/>
              <v:path gradientshapeok="t" o:connecttype="rect"/>
            </v:shapetype>
            <v:shape id="Text Box 642" o:spid="_x0000_s1035" type="#_x0000_t202" alt="Sec-Headerprimary" style="position:absolute;left:0;text-align:left;margin-left:0;margin-top:-25pt;width:454.55pt;height:31.1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238DD7FB" w14:textId="1C13B1B8" w:rsidR="004D4DAE" w:rsidRPr="00324EB0" w:rsidRDefault="00EE271C"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2D280924" w14:textId="2CA2467C" w:rsidR="004D4DAE" w:rsidRDefault="004D4DAE">
    <w:pPr>
      <w:jc w:val="right"/>
      <w:rPr>
        <w:b/>
        <w:sz w:val="20"/>
      </w:rPr>
    </w:pPr>
    <w:r>
      <w:rPr>
        <w:sz w:val="20"/>
      </w:rPr>
      <w:fldChar w:fldCharType="begin"/>
    </w:r>
    <w:r>
      <w:rPr>
        <w:sz w:val="20"/>
      </w:rPr>
      <w:instrText xml:space="preserve"> STYLEREF CharPartText </w:instrText>
    </w:r>
    <w:r>
      <w:rPr>
        <w:sz w:val="20"/>
      </w:rPr>
      <w:fldChar w:fldCharType="separate"/>
    </w:r>
    <w:r w:rsidR="00600906">
      <w:rPr>
        <w:noProof/>
        <w:sz w:val="20"/>
      </w:rPr>
      <w:t>Enrolment</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600906">
      <w:rPr>
        <w:b/>
        <w:noProof/>
        <w:sz w:val="20"/>
      </w:rPr>
      <w:t>Part 2</w:t>
    </w:r>
    <w:r>
      <w:rPr>
        <w:b/>
        <w:sz w:val="20"/>
      </w:rPr>
      <w:fldChar w:fldCharType="end"/>
    </w:r>
  </w:p>
  <w:p w14:paraId="73F36246" w14:textId="6323DBE2" w:rsidR="004D4DAE" w:rsidRDefault="004D4DAE">
    <w:pPr>
      <w:jc w:val="right"/>
      <w:rPr>
        <w:sz w:val="20"/>
      </w:rPr>
    </w:pPr>
    <w:r>
      <w:rPr>
        <w:sz w:val="20"/>
      </w:rPr>
      <w:fldChar w:fldCharType="begin"/>
    </w:r>
    <w:r>
      <w:rPr>
        <w:sz w:val="20"/>
      </w:rPr>
      <w:instrText xml:space="preserve"> STYLEREF CharDivText </w:instrText>
    </w:r>
    <w:r w:rsidR="00600906">
      <w:rPr>
        <w:sz w:val="20"/>
      </w:rPr>
      <w:fldChar w:fldCharType="separate"/>
    </w:r>
    <w:r w:rsidR="00600906">
      <w:rPr>
        <w:noProof/>
        <w:sz w:val="20"/>
      </w:rPr>
      <w:t>Changes in enrolment details</w:t>
    </w:r>
    <w:r>
      <w:rPr>
        <w:sz w:val="20"/>
      </w:rPr>
      <w:fldChar w:fldCharType="end"/>
    </w:r>
    <w:r>
      <w:rPr>
        <w:sz w:val="20"/>
      </w:rPr>
      <w:t xml:space="preserve">  </w:t>
    </w:r>
    <w:r>
      <w:rPr>
        <w:b/>
        <w:sz w:val="20"/>
      </w:rPr>
      <w:fldChar w:fldCharType="begin"/>
    </w:r>
    <w:r>
      <w:rPr>
        <w:b/>
        <w:sz w:val="20"/>
      </w:rPr>
      <w:instrText xml:space="preserve"> STYLEREF CharDivNo </w:instrText>
    </w:r>
    <w:r w:rsidR="00600906">
      <w:rPr>
        <w:b/>
        <w:sz w:val="20"/>
      </w:rPr>
      <w:fldChar w:fldCharType="separate"/>
    </w:r>
    <w:r w:rsidR="00600906">
      <w:rPr>
        <w:b/>
        <w:noProof/>
        <w:sz w:val="20"/>
      </w:rPr>
      <w:t>Division 3</w:t>
    </w:r>
    <w:r>
      <w:rPr>
        <w:b/>
        <w:sz w:val="20"/>
      </w:rPr>
      <w:fldChar w:fldCharType="end"/>
    </w:r>
  </w:p>
  <w:p w14:paraId="5B0DFA1C" w14:textId="77777777" w:rsidR="004D4DAE" w:rsidRDefault="004D4DAE">
    <w:pPr>
      <w:jc w:val="right"/>
      <w:rPr>
        <w:b/>
      </w:rPr>
    </w:pPr>
  </w:p>
  <w:p w14:paraId="4240E68E" w14:textId="23CF67AF" w:rsidR="004D4DAE" w:rsidRDefault="004D4DAE" w:rsidP="0086528C">
    <w:pPr>
      <w:pBdr>
        <w:bottom w:val="single" w:sz="6" w:space="1" w:color="auto"/>
      </w:pBdr>
      <w:spacing w:after="120"/>
      <w:jc w:val="right"/>
    </w:pPr>
    <w:r>
      <w:t xml:space="preserve">Section </w:t>
    </w:r>
    <w:r w:rsidR="00915C3D">
      <w:fldChar w:fldCharType="begin"/>
    </w:r>
    <w:r w:rsidR="00915C3D">
      <w:instrText xml:space="preserve"> STYLEREF CharSectno </w:instrText>
    </w:r>
    <w:r w:rsidR="00915C3D">
      <w:fldChar w:fldCharType="separate"/>
    </w:r>
    <w:r w:rsidR="00600906">
      <w:rPr>
        <w:noProof/>
      </w:rPr>
      <w:t>2-8</w:t>
    </w:r>
    <w:r w:rsidR="00915C3D">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CC1D" w14:textId="4A85DFFE" w:rsidR="004D4DAE" w:rsidRDefault="004D4DAE">
    <w:pPr>
      <w:rPr>
        <w:sz w:val="20"/>
      </w:rPr>
    </w:pPr>
    <w:r w:rsidRPr="004622E0">
      <w:rPr>
        <w:b/>
        <w:noProof/>
        <w:sz w:val="20"/>
        <w:lang w:val="en-US"/>
      </w:rPr>
      <mc:AlternateContent>
        <mc:Choice Requires="wps">
          <w:drawing>
            <wp:anchor distT="0" distB="0" distL="114300" distR="114300" simplePos="0" relativeHeight="251664384" behindDoc="1" locked="1" layoutInCell="1" allowOverlap="1" wp14:anchorId="361125BE" wp14:editId="4AE1BD45">
              <wp:simplePos x="0" y="0"/>
              <wp:positionH relativeFrom="page">
                <wp:align>center</wp:align>
              </wp:positionH>
              <wp:positionV relativeFrom="paragraph">
                <wp:posOffset>-317500</wp:posOffset>
              </wp:positionV>
              <wp:extent cx="5773003" cy="395785"/>
              <wp:effectExtent l="0" t="0" r="0" b="4445"/>
              <wp:wrapNone/>
              <wp:docPr id="646" name="Text Box 646"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5DCAEF" w14:textId="3591734C" w:rsidR="004D4DAE" w:rsidRPr="00324EB0" w:rsidRDefault="00EE271C"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1125BE" id="_x0000_t202" coordsize="21600,21600" o:spt="202" path="m,l,21600r21600,l21600,xe">
              <v:stroke joinstyle="miter"/>
              <v:path gradientshapeok="t" o:connecttype="rect"/>
            </v:shapetype>
            <v:shape id="Text Box 646" o:spid="_x0000_s1038" type="#_x0000_t202" alt="Sec-Headerevenpage" style="position:absolute;margin-left:0;margin-top:-25pt;width:454.55pt;height:31.15pt;z-index:-2516500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phgA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HIgP6BAiso98gMB+3QeMsXCp/vnvnwxBxOCZIBJz884iE1YPeh&#10;kyjZgPv1t+8Rj+RFLSU1Tl1B/c8tc4IS/dUgra97w2Ec03QZjsZ9vLhzzepcY7bVHJAVPdwxlicx&#10;4oM+iNJB9YILYhajoooZjrELGg7iPLS7ABcMF7NZAuFgWhbuzdLy6Dq2OZLzuXlhznYMDsj9BzjM&#10;J5u8IXKLjZYGZtsAUiWWx0a3Xe0eAIc6zUm3gOLWOL8n1GlNTl8B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ZMS6YYACAABu&#10;BQAADgAAAAAAAAAAAAAAAAAuAgAAZHJzL2Uyb0RvYy54bWxQSwECLQAUAAYACAAAACEARkHJhtsA&#10;AAAHAQAADwAAAAAAAAAAAAAAAADaBAAAZHJzL2Rvd25yZXYueG1sUEsFBgAAAAAEAAQA8wAAAOIF&#10;AAAAAA==&#10;" stroked="f" strokeweight=".5pt">
              <v:textbox>
                <w:txbxContent>
                  <w:p w14:paraId="475DCAEF" w14:textId="3591734C" w:rsidR="004D4DAE" w:rsidRPr="00324EB0" w:rsidRDefault="00EE271C"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Pr>
        <w:b/>
        <w:sz w:val="20"/>
      </w:rPr>
      <w:fldChar w:fldCharType="begin"/>
    </w:r>
    <w:r>
      <w:rPr>
        <w:b/>
        <w:sz w:val="20"/>
      </w:rPr>
      <w:instrText xml:space="preserve"> STYLEREF CharChapNo </w:instrText>
    </w:r>
    <w:r>
      <w:rPr>
        <w:b/>
        <w:sz w:val="20"/>
      </w:rPr>
      <w:fldChar w:fldCharType="separate"/>
    </w:r>
    <w:r w:rsidR="00E81128">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81128">
      <w:rPr>
        <w:noProof/>
        <w:sz w:val="20"/>
      </w:rPr>
      <w:t>Forms</w:t>
    </w:r>
    <w:r>
      <w:rPr>
        <w:sz w:val="20"/>
      </w:rPr>
      <w:fldChar w:fldCharType="end"/>
    </w:r>
  </w:p>
  <w:p w14:paraId="2A4531AE" w14:textId="65EAA25D" w:rsidR="004D4DAE" w:rsidRDefault="004D4DA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3B8F9C14" w14:textId="110C9875" w:rsidR="004D4DAE" w:rsidRDefault="004D4DAE" w:rsidP="0086528C">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separate"/>
    </w:r>
    <w:r w:rsidR="00E81128">
      <w:rPr>
        <w:b/>
        <w:noProof/>
        <w:sz w:val="20"/>
      </w:rPr>
      <w:t>Form 3</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E81128">
      <w:rPr>
        <w:noProof/>
        <w:sz w:val="20"/>
      </w:rPr>
      <w:t>Application to issue extension notice</w:t>
    </w:r>
    <w:r>
      <w:rPr>
        <w:sz w:val="20"/>
      </w:rPr>
      <w:fldChar w:fldCharType="end"/>
    </w:r>
  </w:p>
  <w:p w14:paraId="0F638A21" w14:textId="77777777" w:rsidR="004D4DAE" w:rsidRPr="004622E0" w:rsidRDefault="004D4DAE" w:rsidP="0086528C">
    <w:pPr>
      <w:pBdr>
        <w:bottom w:val="single" w:sz="6" w:space="1" w:color="auto"/>
      </w:pBdr>
      <w:rPr>
        <w:b/>
      </w:rPr>
    </w:pPr>
  </w:p>
  <w:p w14:paraId="78B6C5D0" w14:textId="77777777" w:rsidR="004D4DAE" w:rsidRDefault="004D4DAE" w:rsidP="0086528C">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8870D7"/>
    <w:multiLevelType w:val="hybridMultilevel"/>
    <w:tmpl w:val="8A823BF8"/>
    <w:lvl w:ilvl="0" w:tplc="6C86C8BE">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23C3B1B"/>
    <w:multiLevelType w:val="hybridMultilevel"/>
    <w:tmpl w:val="90CC8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D23B93"/>
    <w:multiLevelType w:val="hybridMultilevel"/>
    <w:tmpl w:val="59D0F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0B3972"/>
    <w:multiLevelType w:val="hybridMultilevel"/>
    <w:tmpl w:val="0B40DB80"/>
    <w:lvl w:ilvl="0" w:tplc="0C09000F">
      <w:start w:val="1"/>
      <w:numFmt w:val="decimal"/>
      <w:lvlText w:val="%1."/>
      <w:lvlJc w:val="left"/>
      <w:pPr>
        <w:ind w:left="360" w:hanging="360"/>
      </w:pPr>
      <w:rPr>
        <w:rFonts w:hint="default"/>
        <w:b w:val="0"/>
        <w:i w:val="0"/>
        <w:color w:val="auto"/>
        <w:sz w:val="24"/>
        <w:szCs w:val="24"/>
      </w:rPr>
    </w:lvl>
    <w:lvl w:ilvl="1" w:tplc="A36846EC">
      <w:start w:val="1"/>
      <w:numFmt w:val="lowerLetter"/>
      <w:lvlText w:val="(%2)"/>
      <w:lvlJc w:val="left"/>
      <w:pPr>
        <w:ind w:left="928" w:hanging="360"/>
      </w:pPr>
      <w:rPr>
        <w:rFonts w:hint="default"/>
        <w:i w:val="0"/>
        <w:color w:val="auto"/>
      </w:rPr>
    </w:lvl>
    <w:lvl w:ilvl="2" w:tplc="D026F7A2">
      <w:start w:val="4"/>
      <w:numFmt w:val="lowerRoman"/>
      <w:lvlText w:val="(%3)"/>
      <w:lvlJc w:val="left"/>
      <w:pPr>
        <w:ind w:left="1031" w:hanging="180"/>
      </w:pPr>
      <w:rPr>
        <w:rFonts w:hint="default"/>
        <w:u w:val="none"/>
      </w:rPr>
    </w:lvl>
    <w:lvl w:ilvl="3" w:tplc="12F6E478">
      <w:numFmt w:val="bullet"/>
      <w:lvlText w:val="•"/>
      <w:lvlJc w:val="left"/>
      <w:pPr>
        <w:ind w:left="2880" w:hanging="360"/>
      </w:pPr>
      <w:rPr>
        <w:rFonts w:ascii="Times New Roman" w:eastAsiaTheme="minorEastAsia" w:hAnsi="Times New Roman" w:cs="Times New Roman" w:hint="default"/>
      </w:rPr>
    </w:lvl>
    <w:lvl w:ilvl="4" w:tplc="D026F7A2">
      <w:start w:val="4"/>
      <w:numFmt w:val="lowerRoman"/>
      <w:lvlText w:val="(%5)"/>
      <w:lvlJc w:val="left"/>
      <w:pPr>
        <w:ind w:left="3960" w:hanging="720"/>
      </w:pPr>
      <w:rPr>
        <w:rFonts w:hint="default"/>
        <w:u w:val="none"/>
      </w:r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6978096">
    <w:abstractNumId w:val="9"/>
  </w:num>
  <w:num w:numId="2" w16cid:durableId="263193032">
    <w:abstractNumId w:val="7"/>
  </w:num>
  <w:num w:numId="3" w16cid:durableId="937177879">
    <w:abstractNumId w:val="6"/>
  </w:num>
  <w:num w:numId="4" w16cid:durableId="1551569947">
    <w:abstractNumId w:val="5"/>
  </w:num>
  <w:num w:numId="5" w16cid:durableId="1731271419">
    <w:abstractNumId w:val="4"/>
  </w:num>
  <w:num w:numId="6" w16cid:durableId="1086535604">
    <w:abstractNumId w:val="8"/>
  </w:num>
  <w:num w:numId="7" w16cid:durableId="1442341415">
    <w:abstractNumId w:val="3"/>
  </w:num>
  <w:num w:numId="8" w16cid:durableId="793014212">
    <w:abstractNumId w:val="2"/>
  </w:num>
  <w:num w:numId="9" w16cid:durableId="315186104">
    <w:abstractNumId w:val="1"/>
  </w:num>
  <w:num w:numId="10" w16cid:durableId="2073118695">
    <w:abstractNumId w:val="0"/>
  </w:num>
  <w:num w:numId="11" w16cid:durableId="955411714">
    <w:abstractNumId w:val="16"/>
  </w:num>
  <w:num w:numId="12" w16cid:durableId="268395244">
    <w:abstractNumId w:val="11"/>
  </w:num>
  <w:num w:numId="13" w16cid:durableId="1705671513">
    <w:abstractNumId w:val="12"/>
  </w:num>
  <w:num w:numId="14" w16cid:durableId="1687095025">
    <w:abstractNumId w:val="15"/>
  </w:num>
  <w:num w:numId="15" w16cid:durableId="1476679677">
    <w:abstractNumId w:val="13"/>
  </w:num>
  <w:num w:numId="16" w16cid:durableId="1805731926">
    <w:abstractNumId w:val="10"/>
  </w:num>
  <w:num w:numId="17" w16cid:durableId="1417825340">
    <w:abstractNumId w:val="18"/>
  </w:num>
  <w:num w:numId="18" w16cid:durableId="810370682">
    <w:abstractNumId w:val="17"/>
  </w:num>
  <w:num w:numId="19" w16cid:durableId="375005405">
    <w:abstractNumId w:val="16"/>
  </w:num>
  <w:num w:numId="20" w16cid:durableId="1001080463">
    <w:abstractNumId w:val="14"/>
  </w:num>
  <w:num w:numId="21" w16cid:durableId="1967469928">
    <w:abstractNumId w:val="21"/>
  </w:num>
  <w:num w:numId="22" w16cid:durableId="1456173745">
    <w:abstractNumId w:val="19"/>
  </w:num>
  <w:num w:numId="23" w16cid:durableId="6277867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embedTrueTypeFonts/>
  <w:saveSubsetFonts/>
  <w:activeWritingStyle w:appName="MSWord" w:lang="en-AU" w:vendorID="64" w:dllVersion="0" w:nlCheck="1" w:checkStyle="0"/>
  <w:activeWritingStyle w:appName="MSWord" w:lang="en-US" w:vendorID="64" w:dllVersion="0" w:nlCheck="1" w:checkStyle="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email"/>
    <w:dataType w:val="textFile"/>
    <w:activeRecord w:val="-1"/>
  </w:mailMerge>
  <w:defaultTabStop w:val="720"/>
  <w:evenAndOddHeaders/>
  <w:drawingGridHorizontalSpacing w:val="110"/>
  <w:displayHorizontalDrawingGridEvery w:val="2"/>
  <w:characterSpacingControl w:val="doNotCompress"/>
  <w:hdrShapeDefaults>
    <o:shapedefaults v:ext="edit" spidmax="593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BA"/>
    <w:rsid w:val="000001A4"/>
    <w:rsid w:val="000002BC"/>
    <w:rsid w:val="0000035F"/>
    <w:rsid w:val="00000758"/>
    <w:rsid w:val="0000123F"/>
    <w:rsid w:val="00001489"/>
    <w:rsid w:val="0000165B"/>
    <w:rsid w:val="000043A6"/>
    <w:rsid w:val="00004470"/>
    <w:rsid w:val="00004A27"/>
    <w:rsid w:val="000051DE"/>
    <w:rsid w:val="0000796D"/>
    <w:rsid w:val="00007B86"/>
    <w:rsid w:val="0001002A"/>
    <w:rsid w:val="00010EA4"/>
    <w:rsid w:val="0001138D"/>
    <w:rsid w:val="0001149D"/>
    <w:rsid w:val="000122BB"/>
    <w:rsid w:val="000127C4"/>
    <w:rsid w:val="0001341D"/>
    <w:rsid w:val="000136AF"/>
    <w:rsid w:val="00013ACA"/>
    <w:rsid w:val="000144AD"/>
    <w:rsid w:val="00014919"/>
    <w:rsid w:val="00014D10"/>
    <w:rsid w:val="00015586"/>
    <w:rsid w:val="000156B3"/>
    <w:rsid w:val="00015EC2"/>
    <w:rsid w:val="000177F2"/>
    <w:rsid w:val="00017AAC"/>
    <w:rsid w:val="00023F30"/>
    <w:rsid w:val="00024B75"/>
    <w:rsid w:val="00024DC6"/>
    <w:rsid w:val="00025087"/>
    <w:rsid w:val="00026607"/>
    <w:rsid w:val="00026890"/>
    <w:rsid w:val="00030D44"/>
    <w:rsid w:val="000334C0"/>
    <w:rsid w:val="00033AF2"/>
    <w:rsid w:val="00033E25"/>
    <w:rsid w:val="00036D4E"/>
    <w:rsid w:val="000401A2"/>
    <w:rsid w:val="00041470"/>
    <w:rsid w:val="00041B89"/>
    <w:rsid w:val="0004291D"/>
    <w:rsid w:val="00042B15"/>
    <w:rsid w:val="000437C1"/>
    <w:rsid w:val="00043E4E"/>
    <w:rsid w:val="000444BC"/>
    <w:rsid w:val="0004592D"/>
    <w:rsid w:val="0004620E"/>
    <w:rsid w:val="000465BE"/>
    <w:rsid w:val="000466E1"/>
    <w:rsid w:val="0004747F"/>
    <w:rsid w:val="00050A7B"/>
    <w:rsid w:val="0005106A"/>
    <w:rsid w:val="00051506"/>
    <w:rsid w:val="00052B29"/>
    <w:rsid w:val="00052D03"/>
    <w:rsid w:val="000532D3"/>
    <w:rsid w:val="0005365D"/>
    <w:rsid w:val="00054208"/>
    <w:rsid w:val="000544D0"/>
    <w:rsid w:val="000545F8"/>
    <w:rsid w:val="00054D68"/>
    <w:rsid w:val="00055E68"/>
    <w:rsid w:val="0005669E"/>
    <w:rsid w:val="00056E8A"/>
    <w:rsid w:val="00057564"/>
    <w:rsid w:val="0005777B"/>
    <w:rsid w:val="00057A5C"/>
    <w:rsid w:val="00060036"/>
    <w:rsid w:val="000614BF"/>
    <w:rsid w:val="00061A08"/>
    <w:rsid w:val="0006292F"/>
    <w:rsid w:val="00062D6F"/>
    <w:rsid w:val="00063594"/>
    <w:rsid w:val="000636C9"/>
    <w:rsid w:val="000646F3"/>
    <w:rsid w:val="00064F0D"/>
    <w:rsid w:val="00064F2D"/>
    <w:rsid w:val="00065BA2"/>
    <w:rsid w:val="00065F0A"/>
    <w:rsid w:val="00066446"/>
    <w:rsid w:val="000672B4"/>
    <w:rsid w:val="00070B79"/>
    <w:rsid w:val="00070F16"/>
    <w:rsid w:val="00071D95"/>
    <w:rsid w:val="00072042"/>
    <w:rsid w:val="000724A6"/>
    <w:rsid w:val="0007380E"/>
    <w:rsid w:val="00074926"/>
    <w:rsid w:val="00077411"/>
    <w:rsid w:val="00077D8E"/>
    <w:rsid w:val="00077E27"/>
    <w:rsid w:val="0008026A"/>
    <w:rsid w:val="00080E6F"/>
    <w:rsid w:val="00082665"/>
    <w:rsid w:val="000841D7"/>
    <w:rsid w:val="000843F2"/>
    <w:rsid w:val="000857CB"/>
    <w:rsid w:val="00085A2C"/>
    <w:rsid w:val="00085B60"/>
    <w:rsid w:val="000867A3"/>
    <w:rsid w:val="000870A6"/>
    <w:rsid w:val="000875AA"/>
    <w:rsid w:val="00091EC9"/>
    <w:rsid w:val="00092B1C"/>
    <w:rsid w:val="000947E2"/>
    <w:rsid w:val="00094CAD"/>
    <w:rsid w:val="000957CE"/>
    <w:rsid w:val="000960E6"/>
    <w:rsid w:val="000966C9"/>
    <w:rsid w:val="000969B1"/>
    <w:rsid w:val="000973F3"/>
    <w:rsid w:val="000A2AA1"/>
    <w:rsid w:val="000A2E51"/>
    <w:rsid w:val="000A3338"/>
    <w:rsid w:val="000A3955"/>
    <w:rsid w:val="000A4E06"/>
    <w:rsid w:val="000A540D"/>
    <w:rsid w:val="000A5BA7"/>
    <w:rsid w:val="000A6D93"/>
    <w:rsid w:val="000A6F34"/>
    <w:rsid w:val="000A7C72"/>
    <w:rsid w:val="000B0ACD"/>
    <w:rsid w:val="000B0C75"/>
    <w:rsid w:val="000B1D35"/>
    <w:rsid w:val="000B2270"/>
    <w:rsid w:val="000B39EF"/>
    <w:rsid w:val="000B3CAC"/>
    <w:rsid w:val="000B4995"/>
    <w:rsid w:val="000B4AE6"/>
    <w:rsid w:val="000B50E5"/>
    <w:rsid w:val="000B58FA"/>
    <w:rsid w:val="000B5ADB"/>
    <w:rsid w:val="000B5C81"/>
    <w:rsid w:val="000B5DB2"/>
    <w:rsid w:val="000B6153"/>
    <w:rsid w:val="000B6F44"/>
    <w:rsid w:val="000B73A5"/>
    <w:rsid w:val="000B7E30"/>
    <w:rsid w:val="000C28A3"/>
    <w:rsid w:val="000C2E5D"/>
    <w:rsid w:val="000C3619"/>
    <w:rsid w:val="000C387A"/>
    <w:rsid w:val="000C38F2"/>
    <w:rsid w:val="000C3955"/>
    <w:rsid w:val="000C4157"/>
    <w:rsid w:val="000C4699"/>
    <w:rsid w:val="000C498F"/>
    <w:rsid w:val="000C664D"/>
    <w:rsid w:val="000C7801"/>
    <w:rsid w:val="000C7A2A"/>
    <w:rsid w:val="000D01D9"/>
    <w:rsid w:val="000D05EF"/>
    <w:rsid w:val="000D0650"/>
    <w:rsid w:val="000D156C"/>
    <w:rsid w:val="000D1E4E"/>
    <w:rsid w:val="000D205A"/>
    <w:rsid w:val="000D2837"/>
    <w:rsid w:val="000D2FFD"/>
    <w:rsid w:val="000D32C8"/>
    <w:rsid w:val="000D3C6A"/>
    <w:rsid w:val="000D43DB"/>
    <w:rsid w:val="000D65C7"/>
    <w:rsid w:val="000D77EC"/>
    <w:rsid w:val="000D7990"/>
    <w:rsid w:val="000E137C"/>
    <w:rsid w:val="000E1AAB"/>
    <w:rsid w:val="000E1DEC"/>
    <w:rsid w:val="000E1E86"/>
    <w:rsid w:val="000E2261"/>
    <w:rsid w:val="000E2D92"/>
    <w:rsid w:val="000E36D2"/>
    <w:rsid w:val="000E48FD"/>
    <w:rsid w:val="000E584E"/>
    <w:rsid w:val="000E6AF7"/>
    <w:rsid w:val="000E6E56"/>
    <w:rsid w:val="000E6F0C"/>
    <w:rsid w:val="000E734B"/>
    <w:rsid w:val="000E7499"/>
    <w:rsid w:val="000F0ACC"/>
    <w:rsid w:val="000F21C1"/>
    <w:rsid w:val="000F3972"/>
    <w:rsid w:val="000F4413"/>
    <w:rsid w:val="000F4929"/>
    <w:rsid w:val="000F4D81"/>
    <w:rsid w:val="000F52AC"/>
    <w:rsid w:val="000F5783"/>
    <w:rsid w:val="000F57DF"/>
    <w:rsid w:val="000F67EA"/>
    <w:rsid w:val="000F6B6A"/>
    <w:rsid w:val="000F7250"/>
    <w:rsid w:val="000F7B6F"/>
    <w:rsid w:val="000F7C3A"/>
    <w:rsid w:val="000F7F38"/>
    <w:rsid w:val="00100EF5"/>
    <w:rsid w:val="0010108D"/>
    <w:rsid w:val="00101F5C"/>
    <w:rsid w:val="0010321B"/>
    <w:rsid w:val="0010391B"/>
    <w:rsid w:val="001039BB"/>
    <w:rsid w:val="001039FE"/>
    <w:rsid w:val="00103EEA"/>
    <w:rsid w:val="00104CD3"/>
    <w:rsid w:val="00105051"/>
    <w:rsid w:val="001050FD"/>
    <w:rsid w:val="001052FB"/>
    <w:rsid w:val="001062A1"/>
    <w:rsid w:val="001070E8"/>
    <w:rsid w:val="00107395"/>
    <w:rsid w:val="0010745C"/>
    <w:rsid w:val="00110F88"/>
    <w:rsid w:val="0011143C"/>
    <w:rsid w:val="00111BB0"/>
    <w:rsid w:val="00112229"/>
    <w:rsid w:val="00113D51"/>
    <w:rsid w:val="00113D5E"/>
    <w:rsid w:val="00113EA0"/>
    <w:rsid w:val="0011553A"/>
    <w:rsid w:val="00116B89"/>
    <w:rsid w:val="00116FBA"/>
    <w:rsid w:val="001179B7"/>
    <w:rsid w:val="00117F59"/>
    <w:rsid w:val="00120211"/>
    <w:rsid w:val="00121746"/>
    <w:rsid w:val="00122561"/>
    <w:rsid w:val="001243BA"/>
    <w:rsid w:val="00124ACF"/>
    <w:rsid w:val="001252C5"/>
    <w:rsid w:val="00126BB4"/>
    <w:rsid w:val="001306C5"/>
    <w:rsid w:val="00130B58"/>
    <w:rsid w:val="00130FEC"/>
    <w:rsid w:val="0013261E"/>
    <w:rsid w:val="00132739"/>
    <w:rsid w:val="00132C67"/>
    <w:rsid w:val="00132CEB"/>
    <w:rsid w:val="0013374F"/>
    <w:rsid w:val="00134184"/>
    <w:rsid w:val="0013505C"/>
    <w:rsid w:val="0013533A"/>
    <w:rsid w:val="00135F62"/>
    <w:rsid w:val="0013637D"/>
    <w:rsid w:val="00137CE7"/>
    <w:rsid w:val="00137CF3"/>
    <w:rsid w:val="00137FC9"/>
    <w:rsid w:val="00141372"/>
    <w:rsid w:val="001423FA"/>
    <w:rsid w:val="00142B62"/>
    <w:rsid w:val="00142FC6"/>
    <w:rsid w:val="00144190"/>
    <w:rsid w:val="0014529D"/>
    <w:rsid w:val="0014539C"/>
    <w:rsid w:val="00147E33"/>
    <w:rsid w:val="00150B31"/>
    <w:rsid w:val="00151044"/>
    <w:rsid w:val="00151CDD"/>
    <w:rsid w:val="00152276"/>
    <w:rsid w:val="0015258F"/>
    <w:rsid w:val="00152A33"/>
    <w:rsid w:val="00152A63"/>
    <w:rsid w:val="00152C3E"/>
    <w:rsid w:val="00153893"/>
    <w:rsid w:val="00154158"/>
    <w:rsid w:val="00154463"/>
    <w:rsid w:val="001545A9"/>
    <w:rsid w:val="00154EDD"/>
    <w:rsid w:val="00157AB2"/>
    <w:rsid w:val="00157B8B"/>
    <w:rsid w:val="00157CB0"/>
    <w:rsid w:val="001601DC"/>
    <w:rsid w:val="00160D5A"/>
    <w:rsid w:val="00161DFB"/>
    <w:rsid w:val="0016247A"/>
    <w:rsid w:val="00162EAA"/>
    <w:rsid w:val="00163435"/>
    <w:rsid w:val="00164CDC"/>
    <w:rsid w:val="00164EC4"/>
    <w:rsid w:val="00166C2F"/>
    <w:rsid w:val="00166F4E"/>
    <w:rsid w:val="00167262"/>
    <w:rsid w:val="0017036F"/>
    <w:rsid w:val="0017048D"/>
    <w:rsid w:val="00170DDA"/>
    <w:rsid w:val="0017173A"/>
    <w:rsid w:val="001717F2"/>
    <w:rsid w:val="00171D1C"/>
    <w:rsid w:val="001721AC"/>
    <w:rsid w:val="0017284A"/>
    <w:rsid w:val="001732AA"/>
    <w:rsid w:val="00173F01"/>
    <w:rsid w:val="00174C65"/>
    <w:rsid w:val="001752EB"/>
    <w:rsid w:val="00175883"/>
    <w:rsid w:val="00175981"/>
    <w:rsid w:val="001769A7"/>
    <w:rsid w:val="00176CE6"/>
    <w:rsid w:val="00177EEB"/>
    <w:rsid w:val="00180351"/>
    <w:rsid w:val="001809D7"/>
    <w:rsid w:val="00180B95"/>
    <w:rsid w:val="00180EF4"/>
    <w:rsid w:val="00182544"/>
    <w:rsid w:val="00183453"/>
    <w:rsid w:val="00183505"/>
    <w:rsid w:val="0018359C"/>
    <w:rsid w:val="0018364D"/>
    <w:rsid w:val="00183BCF"/>
    <w:rsid w:val="00184F3A"/>
    <w:rsid w:val="00185437"/>
    <w:rsid w:val="00185E40"/>
    <w:rsid w:val="0018628F"/>
    <w:rsid w:val="00187A69"/>
    <w:rsid w:val="00190629"/>
    <w:rsid w:val="0019069D"/>
    <w:rsid w:val="00191D78"/>
    <w:rsid w:val="001923EA"/>
    <w:rsid w:val="0019290E"/>
    <w:rsid w:val="001939E1"/>
    <w:rsid w:val="001948EF"/>
    <w:rsid w:val="001948F6"/>
    <w:rsid w:val="00194C3E"/>
    <w:rsid w:val="00195382"/>
    <w:rsid w:val="00195B90"/>
    <w:rsid w:val="00196539"/>
    <w:rsid w:val="0019688C"/>
    <w:rsid w:val="001979FD"/>
    <w:rsid w:val="001A0ABF"/>
    <w:rsid w:val="001A21D7"/>
    <w:rsid w:val="001A391A"/>
    <w:rsid w:val="001A48FE"/>
    <w:rsid w:val="001A49B4"/>
    <w:rsid w:val="001A5ACE"/>
    <w:rsid w:val="001A64D2"/>
    <w:rsid w:val="001A74CC"/>
    <w:rsid w:val="001A75FF"/>
    <w:rsid w:val="001A792F"/>
    <w:rsid w:val="001B0865"/>
    <w:rsid w:val="001B1016"/>
    <w:rsid w:val="001B1DF4"/>
    <w:rsid w:val="001B217E"/>
    <w:rsid w:val="001B22D3"/>
    <w:rsid w:val="001B3138"/>
    <w:rsid w:val="001B3D52"/>
    <w:rsid w:val="001B46C2"/>
    <w:rsid w:val="001B472F"/>
    <w:rsid w:val="001B6C4A"/>
    <w:rsid w:val="001B7031"/>
    <w:rsid w:val="001B7064"/>
    <w:rsid w:val="001C10EF"/>
    <w:rsid w:val="001C20B2"/>
    <w:rsid w:val="001C20F8"/>
    <w:rsid w:val="001C2519"/>
    <w:rsid w:val="001C2BFE"/>
    <w:rsid w:val="001C2F2B"/>
    <w:rsid w:val="001C320F"/>
    <w:rsid w:val="001C3525"/>
    <w:rsid w:val="001C3ECB"/>
    <w:rsid w:val="001C53BC"/>
    <w:rsid w:val="001C5C86"/>
    <w:rsid w:val="001C61C5"/>
    <w:rsid w:val="001C6856"/>
    <w:rsid w:val="001C69C4"/>
    <w:rsid w:val="001C7890"/>
    <w:rsid w:val="001C78F9"/>
    <w:rsid w:val="001D1480"/>
    <w:rsid w:val="001D19E2"/>
    <w:rsid w:val="001D2C38"/>
    <w:rsid w:val="001D37EF"/>
    <w:rsid w:val="001D3FBB"/>
    <w:rsid w:val="001D41B2"/>
    <w:rsid w:val="001D45A6"/>
    <w:rsid w:val="001D5F6F"/>
    <w:rsid w:val="001D676D"/>
    <w:rsid w:val="001D7486"/>
    <w:rsid w:val="001D7C6D"/>
    <w:rsid w:val="001E0079"/>
    <w:rsid w:val="001E073F"/>
    <w:rsid w:val="001E07AC"/>
    <w:rsid w:val="001E1899"/>
    <w:rsid w:val="001E1C52"/>
    <w:rsid w:val="001E1F6A"/>
    <w:rsid w:val="001E3590"/>
    <w:rsid w:val="001E4CB3"/>
    <w:rsid w:val="001E4CF4"/>
    <w:rsid w:val="001E4ED4"/>
    <w:rsid w:val="001E6264"/>
    <w:rsid w:val="001E658D"/>
    <w:rsid w:val="001E7057"/>
    <w:rsid w:val="001E7317"/>
    <w:rsid w:val="001E7407"/>
    <w:rsid w:val="001E77C8"/>
    <w:rsid w:val="001E7D65"/>
    <w:rsid w:val="001F098B"/>
    <w:rsid w:val="001F1468"/>
    <w:rsid w:val="001F1519"/>
    <w:rsid w:val="001F1D42"/>
    <w:rsid w:val="001F2312"/>
    <w:rsid w:val="001F3ED3"/>
    <w:rsid w:val="001F436C"/>
    <w:rsid w:val="001F5473"/>
    <w:rsid w:val="001F5548"/>
    <w:rsid w:val="001F5D5E"/>
    <w:rsid w:val="001F5F9D"/>
    <w:rsid w:val="001F6219"/>
    <w:rsid w:val="001F68BF"/>
    <w:rsid w:val="001F68F5"/>
    <w:rsid w:val="001F6CD4"/>
    <w:rsid w:val="001F7430"/>
    <w:rsid w:val="001F77D9"/>
    <w:rsid w:val="001F794C"/>
    <w:rsid w:val="001F7E1D"/>
    <w:rsid w:val="001F7EBE"/>
    <w:rsid w:val="001F7EC5"/>
    <w:rsid w:val="0020061F"/>
    <w:rsid w:val="002015D3"/>
    <w:rsid w:val="0020190B"/>
    <w:rsid w:val="00201B10"/>
    <w:rsid w:val="0020276D"/>
    <w:rsid w:val="00204723"/>
    <w:rsid w:val="00204791"/>
    <w:rsid w:val="002050D7"/>
    <w:rsid w:val="0020519B"/>
    <w:rsid w:val="0020657D"/>
    <w:rsid w:val="00206C4D"/>
    <w:rsid w:val="00206CA6"/>
    <w:rsid w:val="00206DC4"/>
    <w:rsid w:val="00207FEB"/>
    <w:rsid w:val="0021053C"/>
    <w:rsid w:val="002105C3"/>
    <w:rsid w:val="00211707"/>
    <w:rsid w:val="00212D13"/>
    <w:rsid w:val="0021363B"/>
    <w:rsid w:val="00214264"/>
    <w:rsid w:val="002150FD"/>
    <w:rsid w:val="00215AF1"/>
    <w:rsid w:val="0021674F"/>
    <w:rsid w:val="002169CE"/>
    <w:rsid w:val="00216DB0"/>
    <w:rsid w:val="00220A8A"/>
    <w:rsid w:val="00220BE4"/>
    <w:rsid w:val="00220CFE"/>
    <w:rsid w:val="002213CB"/>
    <w:rsid w:val="00221B12"/>
    <w:rsid w:val="00222D05"/>
    <w:rsid w:val="00223CD3"/>
    <w:rsid w:val="00223E5A"/>
    <w:rsid w:val="00224473"/>
    <w:rsid w:val="00225128"/>
    <w:rsid w:val="002254AB"/>
    <w:rsid w:val="0022652F"/>
    <w:rsid w:val="00226562"/>
    <w:rsid w:val="002275ED"/>
    <w:rsid w:val="002312A2"/>
    <w:rsid w:val="00231875"/>
    <w:rsid w:val="00231D4A"/>
    <w:rsid w:val="002321E8"/>
    <w:rsid w:val="0023230A"/>
    <w:rsid w:val="00232966"/>
    <w:rsid w:val="00232D99"/>
    <w:rsid w:val="0023319F"/>
    <w:rsid w:val="002337ED"/>
    <w:rsid w:val="00233FC5"/>
    <w:rsid w:val="00234E74"/>
    <w:rsid w:val="002356A6"/>
    <w:rsid w:val="00235C1D"/>
    <w:rsid w:val="00236038"/>
    <w:rsid w:val="00236DC6"/>
    <w:rsid w:val="00236EEC"/>
    <w:rsid w:val="0024010F"/>
    <w:rsid w:val="00240749"/>
    <w:rsid w:val="0024093D"/>
    <w:rsid w:val="0024183E"/>
    <w:rsid w:val="00243018"/>
    <w:rsid w:val="00244A02"/>
    <w:rsid w:val="002456ED"/>
    <w:rsid w:val="0024574E"/>
    <w:rsid w:val="00245ACE"/>
    <w:rsid w:val="002461FA"/>
    <w:rsid w:val="002468B3"/>
    <w:rsid w:val="00246EE0"/>
    <w:rsid w:val="002472BB"/>
    <w:rsid w:val="002475A2"/>
    <w:rsid w:val="002502B0"/>
    <w:rsid w:val="00250ED9"/>
    <w:rsid w:val="002511EE"/>
    <w:rsid w:val="0025120C"/>
    <w:rsid w:val="00251E38"/>
    <w:rsid w:val="002526AC"/>
    <w:rsid w:val="00252C1A"/>
    <w:rsid w:val="0025341F"/>
    <w:rsid w:val="00254BBD"/>
    <w:rsid w:val="00255FB6"/>
    <w:rsid w:val="002564A4"/>
    <w:rsid w:val="00256638"/>
    <w:rsid w:val="002575E8"/>
    <w:rsid w:val="0026070C"/>
    <w:rsid w:val="00261E8A"/>
    <w:rsid w:val="00262C46"/>
    <w:rsid w:val="002637C2"/>
    <w:rsid w:val="00263CD5"/>
    <w:rsid w:val="002647BE"/>
    <w:rsid w:val="0026677E"/>
    <w:rsid w:val="0026736C"/>
    <w:rsid w:val="00267CAD"/>
    <w:rsid w:val="00270E8B"/>
    <w:rsid w:val="002714CA"/>
    <w:rsid w:val="002726ED"/>
    <w:rsid w:val="00274BB9"/>
    <w:rsid w:val="00275B36"/>
    <w:rsid w:val="002767AC"/>
    <w:rsid w:val="00276E74"/>
    <w:rsid w:val="00277A73"/>
    <w:rsid w:val="00280545"/>
    <w:rsid w:val="00280B23"/>
    <w:rsid w:val="00280E6D"/>
    <w:rsid w:val="00281308"/>
    <w:rsid w:val="00281515"/>
    <w:rsid w:val="00282BF9"/>
    <w:rsid w:val="002830A7"/>
    <w:rsid w:val="00284719"/>
    <w:rsid w:val="002851D8"/>
    <w:rsid w:val="00285293"/>
    <w:rsid w:val="0028536B"/>
    <w:rsid w:val="00285694"/>
    <w:rsid w:val="00290CC0"/>
    <w:rsid w:val="00291129"/>
    <w:rsid w:val="00291C54"/>
    <w:rsid w:val="002938E3"/>
    <w:rsid w:val="00294ADE"/>
    <w:rsid w:val="002950B1"/>
    <w:rsid w:val="002955DD"/>
    <w:rsid w:val="00295CED"/>
    <w:rsid w:val="00296C97"/>
    <w:rsid w:val="00297337"/>
    <w:rsid w:val="00297ECB"/>
    <w:rsid w:val="002A0928"/>
    <w:rsid w:val="002A17A2"/>
    <w:rsid w:val="002A1989"/>
    <w:rsid w:val="002A1CC4"/>
    <w:rsid w:val="002A21D7"/>
    <w:rsid w:val="002A23F1"/>
    <w:rsid w:val="002A25A1"/>
    <w:rsid w:val="002A2E38"/>
    <w:rsid w:val="002A333C"/>
    <w:rsid w:val="002A3ED9"/>
    <w:rsid w:val="002A427F"/>
    <w:rsid w:val="002A507A"/>
    <w:rsid w:val="002A5DD7"/>
    <w:rsid w:val="002A5F01"/>
    <w:rsid w:val="002A6375"/>
    <w:rsid w:val="002A709E"/>
    <w:rsid w:val="002A7539"/>
    <w:rsid w:val="002A77DC"/>
    <w:rsid w:val="002A7BCF"/>
    <w:rsid w:val="002B0430"/>
    <w:rsid w:val="002B0856"/>
    <w:rsid w:val="002B1D5D"/>
    <w:rsid w:val="002B2EC2"/>
    <w:rsid w:val="002B2FF1"/>
    <w:rsid w:val="002B3896"/>
    <w:rsid w:val="002B3EBF"/>
    <w:rsid w:val="002B4681"/>
    <w:rsid w:val="002B47E0"/>
    <w:rsid w:val="002B4EB9"/>
    <w:rsid w:val="002B5945"/>
    <w:rsid w:val="002B59E4"/>
    <w:rsid w:val="002B78A3"/>
    <w:rsid w:val="002C115E"/>
    <w:rsid w:val="002C1741"/>
    <w:rsid w:val="002C22A2"/>
    <w:rsid w:val="002C23F0"/>
    <w:rsid w:val="002C4A40"/>
    <w:rsid w:val="002C6C87"/>
    <w:rsid w:val="002C6DA1"/>
    <w:rsid w:val="002C71C0"/>
    <w:rsid w:val="002C759E"/>
    <w:rsid w:val="002C7802"/>
    <w:rsid w:val="002C7E37"/>
    <w:rsid w:val="002C7F65"/>
    <w:rsid w:val="002D043A"/>
    <w:rsid w:val="002D0993"/>
    <w:rsid w:val="002D1013"/>
    <w:rsid w:val="002D2498"/>
    <w:rsid w:val="002D2F1E"/>
    <w:rsid w:val="002D2F4B"/>
    <w:rsid w:val="002D4744"/>
    <w:rsid w:val="002D49B7"/>
    <w:rsid w:val="002D5FC8"/>
    <w:rsid w:val="002D607B"/>
    <w:rsid w:val="002D6224"/>
    <w:rsid w:val="002D674D"/>
    <w:rsid w:val="002D6F63"/>
    <w:rsid w:val="002D720C"/>
    <w:rsid w:val="002D73BF"/>
    <w:rsid w:val="002D789D"/>
    <w:rsid w:val="002E1E48"/>
    <w:rsid w:val="002E353F"/>
    <w:rsid w:val="002E392C"/>
    <w:rsid w:val="002E3DF4"/>
    <w:rsid w:val="002E3F4B"/>
    <w:rsid w:val="002E66AC"/>
    <w:rsid w:val="002E76B7"/>
    <w:rsid w:val="002F020F"/>
    <w:rsid w:val="002F09AF"/>
    <w:rsid w:val="002F1880"/>
    <w:rsid w:val="002F238E"/>
    <w:rsid w:val="002F36A5"/>
    <w:rsid w:val="002F4171"/>
    <w:rsid w:val="002F4595"/>
    <w:rsid w:val="002F6CE4"/>
    <w:rsid w:val="002F6D28"/>
    <w:rsid w:val="002F7317"/>
    <w:rsid w:val="002F794E"/>
    <w:rsid w:val="00300B65"/>
    <w:rsid w:val="00301ADB"/>
    <w:rsid w:val="00302DBD"/>
    <w:rsid w:val="0030345C"/>
    <w:rsid w:val="00304F8B"/>
    <w:rsid w:val="003054A6"/>
    <w:rsid w:val="00305A97"/>
    <w:rsid w:val="00306257"/>
    <w:rsid w:val="0030717F"/>
    <w:rsid w:val="00307A16"/>
    <w:rsid w:val="00307CE1"/>
    <w:rsid w:val="00307E92"/>
    <w:rsid w:val="00310893"/>
    <w:rsid w:val="00310D03"/>
    <w:rsid w:val="00311193"/>
    <w:rsid w:val="00312E84"/>
    <w:rsid w:val="003134D4"/>
    <w:rsid w:val="00313A3D"/>
    <w:rsid w:val="00313BD3"/>
    <w:rsid w:val="00313DE2"/>
    <w:rsid w:val="0031459B"/>
    <w:rsid w:val="003172A6"/>
    <w:rsid w:val="00317F01"/>
    <w:rsid w:val="00321F0F"/>
    <w:rsid w:val="00322502"/>
    <w:rsid w:val="003232F8"/>
    <w:rsid w:val="003233F1"/>
    <w:rsid w:val="00323E49"/>
    <w:rsid w:val="00324B37"/>
    <w:rsid w:val="003250B9"/>
    <w:rsid w:val="00327FED"/>
    <w:rsid w:val="00331692"/>
    <w:rsid w:val="00331A08"/>
    <w:rsid w:val="00331D38"/>
    <w:rsid w:val="00331D93"/>
    <w:rsid w:val="00331F01"/>
    <w:rsid w:val="0033392A"/>
    <w:rsid w:val="0033403B"/>
    <w:rsid w:val="00334A29"/>
    <w:rsid w:val="00334CF7"/>
    <w:rsid w:val="003354D2"/>
    <w:rsid w:val="00335BC6"/>
    <w:rsid w:val="00337451"/>
    <w:rsid w:val="003415D3"/>
    <w:rsid w:val="00342340"/>
    <w:rsid w:val="0034277E"/>
    <w:rsid w:val="00342C68"/>
    <w:rsid w:val="00342CDE"/>
    <w:rsid w:val="003433BE"/>
    <w:rsid w:val="00343C5B"/>
    <w:rsid w:val="00344701"/>
    <w:rsid w:val="00345DAA"/>
    <w:rsid w:val="0035008E"/>
    <w:rsid w:val="003504E9"/>
    <w:rsid w:val="00352B0F"/>
    <w:rsid w:val="00356360"/>
    <w:rsid w:val="00356401"/>
    <w:rsid w:val="00356690"/>
    <w:rsid w:val="003567D1"/>
    <w:rsid w:val="00356A1F"/>
    <w:rsid w:val="0035709B"/>
    <w:rsid w:val="00360104"/>
    <w:rsid w:val="00360264"/>
    <w:rsid w:val="00360459"/>
    <w:rsid w:val="003609F4"/>
    <w:rsid w:val="00361150"/>
    <w:rsid w:val="00361431"/>
    <w:rsid w:val="00361504"/>
    <w:rsid w:val="00363844"/>
    <w:rsid w:val="00363CAC"/>
    <w:rsid w:val="003644DC"/>
    <w:rsid w:val="00364996"/>
    <w:rsid w:val="0036645C"/>
    <w:rsid w:val="00367061"/>
    <w:rsid w:val="00367243"/>
    <w:rsid w:val="00367321"/>
    <w:rsid w:val="00367965"/>
    <w:rsid w:val="003679DF"/>
    <w:rsid w:val="00367E2F"/>
    <w:rsid w:val="00370B35"/>
    <w:rsid w:val="00371406"/>
    <w:rsid w:val="00371855"/>
    <w:rsid w:val="00371A2D"/>
    <w:rsid w:val="00371ACB"/>
    <w:rsid w:val="00372608"/>
    <w:rsid w:val="003731F4"/>
    <w:rsid w:val="003743E0"/>
    <w:rsid w:val="00375C1B"/>
    <w:rsid w:val="00376A9B"/>
    <w:rsid w:val="003777E3"/>
    <w:rsid w:val="00377862"/>
    <w:rsid w:val="00381CA7"/>
    <w:rsid w:val="00382023"/>
    <w:rsid w:val="0038282D"/>
    <w:rsid w:val="003839D4"/>
    <w:rsid w:val="00386DB0"/>
    <w:rsid w:val="0038773C"/>
    <w:rsid w:val="00387939"/>
    <w:rsid w:val="00390275"/>
    <w:rsid w:val="00390B9D"/>
    <w:rsid w:val="00391682"/>
    <w:rsid w:val="00394379"/>
    <w:rsid w:val="00395045"/>
    <w:rsid w:val="00395D26"/>
    <w:rsid w:val="003965D2"/>
    <w:rsid w:val="00396AE2"/>
    <w:rsid w:val="003978F1"/>
    <w:rsid w:val="003A0177"/>
    <w:rsid w:val="003A0735"/>
    <w:rsid w:val="003A0887"/>
    <w:rsid w:val="003A2878"/>
    <w:rsid w:val="003A2D62"/>
    <w:rsid w:val="003A4669"/>
    <w:rsid w:val="003A5AB8"/>
    <w:rsid w:val="003A6620"/>
    <w:rsid w:val="003A7036"/>
    <w:rsid w:val="003A74D0"/>
    <w:rsid w:val="003A7C46"/>
    <w:rsid w:val="003A7F99"/>
    <w:rsid w:val="003A7FB4"/>
    <w:rsid w:val="003B0F2B"/>
    <w:rsid w:val="003B0F73"/>
    <w:rsid w:val="003B23CF"/>
    <w:rsid w:val="003B3D8E"/>
    <w:rsid w:val="003B3F30"/>
    <w:rsid w:val="003B400A"/>
    <w:rsid w:val="003B41B2"/>
    <w:rsid w:val="003B49DB"/>
    <w:rsid w:val="003B530E"/>
    <w:rsid w:val="003B53AF"/>
    <w:rsid w:val="003B5447"/>
    <w:rsid w:val="003B5E27"/>
    <w:rsid w:val="003B7395"/>
    <w:rsid w:val="003B77A7"/>
    <w:rsid w:val="003B7978"/>
    <w:rsid w:val="003C06A6"/>
    <w:rsid w:val="003C10EC"/>
    <w:rsid w:val="003C194F"/>
    <w:rsid w:val="003C1FAF"/>
    <w:rsid w:val="003C26AA"/>
    <w:rsid w:val="003C3971"/>
    <w:rsid w:val="003C4760"/>
    <w:rsid w:val="003C572C"/>
    <w:rsid w:val="003C5C8C"/>
    <w:rsid w:val="003C6231"/>
    <w:rsid w:val="003C63A4"/>
    <w:rsid w:val="003C64CC"/>
    <w:rsid w:val="003C65BD"/>
    <w:rsid w:val="003C6D54"/>
    <w:rsid w:val="003C6DFD"/>
    <w:rsid w:val="003C7079"/>
    <w:rsid w:val="003D0BFE"/>
    <w:rsid w:val="003D0D51"/>
    <w:rsid w:val="003D156B"/>
    <w:rsid w:val="003D1D1E"/>
    <w:rsid w:val="003D1FF4"/>
    <w:rsid w:val="003D2C1F"/>
    <w:rsid w:val="003D2FD8"/>
    <w:rsid w:val="003D37E1"/>
    <w:rsid w:val="003D5700"/>
    <w:rsid w:val="003D5B45"/>
    <w:rsid w:val="003D5BC4"/>
    <w:rsid w:val="003D622A"/>
    <w:rsid w:val="003D638D"/>
    <w:rsid w:val="003D696A"/>
    <w:rsid w:val="003D6B13"/>
    <w:rsid w:val="003D71AF"/>
    <w:rsid w:val="003E0074"/>
    <w:rsid w:val="003E0A8C"/>
    <w:rsid w:val="003E126A"/>
    <w:rsid w:val="003E1BF5"/>
    <w:rsid w:val="003E219A"/>
    <w:rsid w:val="003E291B"/>
    <w:rsid w:val="003E327F"/>
    <w:rsid w:val="003E341B"/>
    <w:rsid w:val="003E399E"/>
    <w:rsid w:val="003E3A86"/>
    <w:rsid w:val="003E3C58"/>
    <w:rsid w:val="003E41C9"/>
    <w:rsid w:val="003E4CDB"/>
    <w:rsid w:val="003E4DD8"/>
    <w:rsid w:val="003E573E"/>
    <w:rsid w:val="003E5879"/>
    <w:rsid w:val="003F074B"/>
    <w:rsid w:val="003F1AEA"/>
    <w:rsid w:val="003F1F33"/>
    <w:rsid w:val="003F1F42"/>
    <w:rsid w:val="003F3DD5"/>
    <w:rsid w:val="003F4CF8"/>
    <w:rsid w:val="003F4ED4"/>
    <w:rsid w:val="003F5B37"/>
    <w:rsid w:val="003F785F"/>
    <w:rsid w:val="003F7B0F"/>
    <w:rsid w:val="00400247"/>
    <w:rsid w:val="004014C0"/>
    <w:rsid w:val="004016C1"/>
    <w:rsid w:val="004019AD"/>
    <w:rsid w:val="00403C1B"/>
    <w:rsid w:val="00404953"/>
    <w:rsid w:val="00404FC8"/>
    <w:rsid w:val="0040660B"/>
    <w:rsid w:val="00406F96"/>
    <w:rsid w:val="004116CD"/>
    <w:rsid w:val="00411915"/>
    <w:rsid w:val="00412E43"/>
    <w:rsid w:val="0041387C"/>
    <w:rsid w:val="00413EFB"/>
    <w:rsid w:val="004140DD"/>
    <w:rsid w:val="004144EC"/>
    <w:rsid w:val="00415535"/>
    <w:rsid w:val="0041569E"/>
    <w:rsid w:val="004162AA"/>
    <w:rsid w:val="00416821"/>
    <w:rsid w:val="004169E6"/>
    <w:rsid w:val="00416A05"/>
    <w:rsid w:val="00417EB9"/>
    <w:rsid w:val="004206C3"/>
    <w:rsid w:val="00420954"/>
    <w:rsid w:val="004209BB"/>
    <w:rsid w:val="00421672"/>
    <w:rsid w:val="00424CA9"/>
    <w:rsid w:val="00425547"/>
    <w:rsid w:val="00425B54"/>
    <w:rsid w:val="00425C8B"/>
    <w:rsid w:val="00426347"/>
    <w:rsid w:val="00426782"/>
    <w:rsid w:val="00426DB9"/>
    <w:rsid w:val="00427621"/>
    <w:rsid w:val="0043086A"/>
    <w:rsid w:val="00431E9B"/>
    <w:rsid w:val="0043322E"/>
    <w:rsid w:val="00434380"/>
    <w:rsid w:val="0043459E"/>
    <w:rsid w:val="00434A5F"/>
    <w:rsid w:val="00434E2B"/>
    <w:rsid w:val="00436676"/>
    <w:rsid w:val="004367CB"/>
    <w:rsid w:val="004375D2"/>
    <w:rsid w:val="004379E3"/>
    <w:rsid w:val="00437E5C"/>
    <w:rsid w:val="0044015E"/>
    <w:rsid w:val="00440C37"/>
    <w:rsid w:val="0044277E"/>
    <w:rsid w:val="0044291A"/>
    <w:rsid w:val="00444199"/>
    <w:rsid w:val="00444633"/>
    <w:rsid w:val="00444ABD"/>
    <w:rsid w:val="00446EBE"/>
    <w:rsid w:val="00446FC6"/>
    <w:rsid w:val="004471E0"/>
    <w:rsid w:val="004478B4"/>
    <w:rsid w:val="004500BF"/>
    <w:rsid w:val="004504CE"/>
    <w:rsid w:val="00450C9B"/>
    <w:rsid w:val="00451B3D"/>
    <w:rsid w:val="00451E63"/>
    <w:rsid w:val="004520E4"/>
    <w:rsid w:val="0045249D"/>
    <w:rsid w:val="0045269B"/>
    <w:rsid w:val="00453D05"/>
    <w:rsid w:val="00454222"/>
    <w:rsid w:val="00454326"/>
    <w:rsid w:val="00461147"/>
    <w:rsid w:val="00461B16"/>
    <w:rsid w:val="00461C81"/>
    <w:rsid w:val="00461EFE"/>
    <w:rsid w:val="00462A87"/>
    <w:rsid w:val="0046352C"/>
    <w:rsid w:val="00464B44"/>
    <w:rsid w:val="00464D6F"/>
    <w:rsid w:val="00464DA2"/>
    <w:rsid w:val="00464E82"/>
    <w:rsid w:val="00465A80"/>
    <w:rsid w:val="00465BD3"/>
    <w:rsid w:val="00466884"/>
    <w:rsid w:val="00466A7C"/>
    <w:rsid w:val="00466D63"/>
    <w:rsid w:val="00467661"/>
    <w:rsid w:val="00470356"/>
    <w:rsid w:val="004705B7"/>
    <w:rsid w:val="00470616"/>
    <w:rsid w:val="0047114C"/>
    <w:rsid w:val="0047138B"/>
    <w:rsid w:val="00472275"/>
    <w:rsid w:val="00472B9C"/>
    <w:rsid w:val="00472CC7"/>
    <w:rsid w:val="00472D3C"/>
    <w:rsid w:val="00472DBE"/>
    <w:rsid w:val="00473879"/>
    <w:rsid w:val="0047440C"/>
    <w:rsid w:val="00474A19"/>
    <w:rsid w:val="00475F21"/>
    <w:rsid w:val="004770E8"/>
    <w:rsid w:val="00477732"/>
    <w:rsid w:val="004827B7"/>
    <w:rsid w:val="0048386A"/>
    <w:rsid w:val="0048620F"/>
    <w:rsid w:val="00486CF5"/>
    <w:rsid w:val="00487453"/>
    <w:rsid w:val="004879F0"/>
    <w:rsid w:val="00490274"/>
    <w:rsid w:val="004920F6"/>
    <w:rsid w:val="00494A65"/>
    <w:rsid w:val="00495290"/>
    <w:rsid w:val="00495BC3"/>
    <w:rsid w:val="0049602F"/>
    <w:rsid w:val="004968B1"/>
    <w:rsid w:val="00496D91"/>
    <w:rsid w:val="00496F97"/>
    <w:rsid w:val="004973AC"/>
    <w:rsid w:val="004977B4"/>
    <w:rsid w:val="00497DAA"/>
    <w:rsid w:val="00497F9C"/>
    <w:rsid w:val="004A2A15"/>
    <w:rsid w:val="004A2E99"/>
    <w:rsid w:val="004A3D06"/>
    <w:rsid w:val="004A42B2"/>
    <w:rsid w:val="004A4642"/>
    <w:rsid w:val="004A6328"/>
    <w:rsid w:val="004A6494"/>
    <w:rsid w:val="004A6C00"/>
    <w:rsid w:val="004A7589"/>
    <w:rsid w:val="004B0089"/>
    <w:rsid w:val="004B0143"/>
    <w:rsid w:val="004B0A28"/>
    <w:rsid w:val="004B0DB7"/>
    <w:rsid w:val="004B0E81"/>
    <w:rsid w:val="004B1800"/>
    <w:rsid w:val="004B1D4D"/>
    <w:rsid w:val="004B2190"/>
    <w:rsid w:val="004B277F"/>
    <w:rsid w:val="004B2787"/>
    <w:rsid w:val="004B3B4E"/>
    <w:rsid w:val="004B3F89"/>
    <w:rsid w:val="004B4376"/>
    <w:rsid w:val="004B4A56"/>
    <w:rsid w:val="004B5CCB"/>
    <w:rsid w:val="004B73FE"/>
    <w:rsid w:val="004B7B3E"/>
    <w:rsid w:val="004C00BE"/>
    <w:rsid w:val="004C13FB"/>
    <w:rsid w:val="004C1A29"/>
    <w:rsid w:val="004C1CDA"/>
    <w:rsid w:val="004C1F20"/>
    <w:rsid w:val="004C2910"/>
    <w:rsid w:val="004C2BA4"/>
    <w:rsid w:val="004C323A"/>
    <w:rsid w:val="004C5696"/>
    <w:rsid w:val="004C6AE8"/>
    <w:rsid w:val="004C6F14"/>
    <w:rsid w:val="004C706E"/>
    <w:rsid w:val="004C77DB"/>
    <w:rsid w:val="004D0F6D"/>
    <w:rsid w:val="004D1559"/>
    <w:rsid w:val="004D15CC"/>
    <w:rsid w:val="004D1E4D"/>
    <w:rsid w:val="004D2251"/>
    <w:rsid w:val="004D2CBA"/>
    <w:rsid w:val="004D3593"/>
    <w:rsid w:val="004D4DAE"/>
    <w:rsid w:val="004D5377"/>
    <w:rsid w:val="004D58EA"/>
    <w:rsid w:val="004D6266"/>
    <w:rsid w:val="004D76D2"/>
    <w:rsid w:val="004E063A"/>
    <w:rsid w:val="004E21C2"/>
    <w:rsid w:val="004E28A7"/>
    <w:rsid w:val="004E2C10"/>
    <w:rsid w:val="004E2FEE"/>
    <w:rsid w:val="004E3367"/>
    <w:rsid w:val="004E612C"/>
    <w:rsid w:val="004E6383"/>
    <w:rsid w:val="004E6A27"/>
    <w:rsid w:val="004E7BEC"/>
    <w:rsid w:val="004F02BB"/>
    <w:rsid w:val="004F2AC3"/>
    <w:rsid w:val="004F39EB"/>
    <w:rsid w:val="004F3FDC"/>
    <w:rsid w:val="004F45A5"/>
    <w:rsid w:val="004F475A"/>
    <w:rsid w:val="004F53FA"/>
    <w:rsid w:val="004F54AE"/>
    <w:rsid w:val="004F59B9"/>
    <w:rsid w:val="004F605A"/>
    <w:rsid w:val="004F6C6C"/>
    <w:rsid w:val="004F7750"/>
    <w:rsid w:val="004F7E1F"/>
    <w:rsid w:val="00500437"/>
    <w:rsid w:val="005007DA"/>
    <w:rsid w:val="00501729"/>
    <w:rsid w:val="00502254"/>
    <w:rsid w:val="00502356"/>
    <w:rsid w:val="00502AD3"/>
    <w:rsid w:val="005039F9"/>
    <w:rsid w:val="00504CDE"/>
    <w:rsid w:val="00504EFF"/>
    <w:rsid w:val="00505915"/>
    <w:rsid w:val="00505D3D"/>
    <w:rsid w:val="00505E9D"/>
    <w:rsid w:val="00506090"/>
    <w:rsid w:val="00506733"/>
    <w:rsid w:val="00506AF6"/>
    <w:rsid w:val="00506BAF"/>
    <w:rsid w:val="00506C02"/>
    <w:rsid w:val="00506FA4"/>
    <w:rsid w:val="00507B74"/>
    <w:rsid w:val="00511422"/>
    <w:rsid w:val="00511529"/>
    <w:rsid w:val="0051188C"/>
    <w:rsid w:val="005119C3"/>
    <w:rsid w:val="00511B0B"/>
    <w:rsid w:val="005120EF"/>
    <w:rsid w:val="005122B1"/>
    <w:rsid w:val="00512D87"/>
    <w:rsid w:val="0051372F"/>
    <w:rsid w:val="0051427F"/>
    <w:rsid w:val="005147E1"/>
    <w:rsid w:val="00514D82"/>
    <w:rsid w:val="00515726"/>
    <w:rsid w:val="00515ECA"/>
    <w:rsid w:val="0051643A"/>
    <w:rsid w:val="00516591"/>
    <w:rsid w:val="00516B8D"/>
    <w:rsid w:val="00520F4E"/>
    <w:rsid w:val="00521F88"/>
    <w:rsid w:val="005221F7"/>
    <w:rsid w:val="005225FB"/>
    <w:rsid w:val="00522826"/>
    <w:rsid w:val="00523F14"/>
    <w:rsid w:val="00523F86"/>
    <w:rsid w:val="0052490A"/>
    <w:rsid w:val="00524B27"/>
    <w:rsid w:val="00524B7D"/>
    <w:rsid w:val="00526B47"/>
    <w:rsid w:val="00526EF7"/>
    <w:rsid w:val="00526F7E"/>
    <w:rsid w:val="00527939"/>
    <w:rsid w:val="00530913"/>
    <w:rsid w:val="00530C49"/>
    <w:rsid w:val="00530F80"/>
    <w:rsid w:val="00531386"/>
    <w:rsid w:val="00531474"/>
    <w:rsid w:val="0053158F"/>
    <w:rsid w:val="00531E40"/>
    <w:rsid w:val="00532B47"/>
    <w:rsid w:val="00533617"/>
    <w:rsid w:val="00533679"/>
    <w:rsid w:val="005337A2"/>
    <w:rsid w:val="00533EF2"/>
    <w:rsid w:val="00533F0D"/>
    <w:rsid w:val="00534522"/>
    <w:rsid w:val="00536C4A"/>
    <w:rsid w:val="00536EDF"/>
    <w:rsid w:val="00537FBC"/>
    <w:rsid w:val="005405F9"/>
    <w:rsid w:val="00541242"/>
    <w:rsid w:val="00541C54"/>
    <w:rsid w:val="0054356D"/>
    <w:rsid w:val="00543CF9"/>
    <w:rsid w:val="005443F2"/>
    <w:rsid w:val="00544F7F"/>
    <w:rsid w:val="005450F3"/>
    <w:rsid w:val="00547DAE"/>
    <w:rsid w:val="00550D67"/>
    <w:rsid w:val="00552133"/>
    <w:rsid w:val="00552710"/>
    <w:rsid w:val="00552CCC"/>
    <w:rsid w:val="0055413C"/>
    <w:rsid w:val="005545D3"/>
    <w:rsid w:val="00554954"/>
    <w:rsid w:val="00555080"/>
    <w:rsid w:val="0055511B"/>
    <w:rsid w:val="0055602F"/>
    <w:rsid w:val="00556396"/>
    <w:rsid w:val="005574D1"/>
    <w:rsid w:val="005577B2"/>
    <w:rsid w:val="00557BC5"/>
    <w:rsid w:val="0056097B"/>
    <w:rsid w:val="00561AC6"/>
    <w:rsid w:val="005623B9"/>
    <w:rsid w:val="00563A6B"/>
    <w:rsid w:val="00563C1C"/>
    <w:rsid w:val="005645E3"/>
    <w:rsid w:val="00564A09"/>
    <w:rsid w:val="0056559A"/>
    <w:rsid w:val="005662CA"/>
    <w:rsid w:val="00567601"/>
    <w:rsid w:val="0057082B"/>
    <w:rsid w:val="00572348"/>
    <w:rsid w:val="005727C2"/>
    <w:rsid w:val="00572DFE"/>
    <w:rsid w:val="00572E59"/>
    <w:rsid w:val="0057338B"/>
    <w:rsid w:val="005734A1"/>
    <w:rsid w:val="00573BF6"/>
    <w:rsid w:val="0057412B"/>
    <w:rsid w:val="005745D7"/>
    <w:rsid w:val="005758F7"/>
    <w:rsid w:val="00575F97"/>
    <w:rsid w:val="0057676E"/>
    <w:rsid w:val="005768EA"/>
    <w:rsid w:val="00581F2A"/>
    <w:rsid w:val="00582929"/>
    <w:rsid w:val="005846B3"/>
    <w:rsid w:val="005847C0"/>
    <w:rsid w:val="00584811"/>
    <w:rsid w:val="00585345"/>
    <w:rsid w:val="00585784"/>
    <w:rsid w:val="00585B59"/>
    <w:rsid w:val="00586538"/>
    <w:rsid w:val="00586868"/>
    <w:rsid w:val="005909A8"/>
    <w:rsid w:val="005928CC"/>
    <w:rsid w:val="00593AA6"/>
    <w:rsid w:val="00593FF2"/>
    <w:rsid w:val="00594161"/>
    <w:rsid w:val="00594749"/>
    <w:rsid w:val="00595D33"/>
    <w:rsid w:val="00596574"/>
    <w:rsid w:val="00596AB4"/>
    <w:rsid w:val="00596DBC"/>
    <w:rsid w:val="0059746D"/>
    <w:rsid w:val="005A03D9"/>
    <w:rsid w:val="005A1F5F"/>
    <w:rsid w:val="005A1F80"/>
    <w:rsid w:val="005A2C10"/>
    <w:rsid w:val="005A38C6"/>
    <w:rsid w:val="005A3C97"/>
    <w:rsid w:val="005A4906"/>
    <w:rsid w:val="005A4D14"/>
    <w:rsid w:val="005A5DA3"/>
    <w:rsid w:val="005A61E5"/>
    <w:rsid w:val="005A7A7A"/>
    <w:rsid w:val="005A7E0D"/>
    <w:rsid w:val="005B0A17"/>
    <w:rsid w:val="005B0DD0"/>
    <w:rsid w:val="005B0F8B"/>
    <w:rsid w:val="005B1083"/>
    <w:rsid w:val="005B121C"/>
    <w:rsid w:val="005B1330"/>
    <w:rsid w:val="005B14E5"/>
    <w:rsid w:val="005B1744"/>
    <w:rsid w:val="005B1D04"/>
    <w:rsid w:val="005B2024"/>
    <w:rsid w:val="005B2546"/>
    <w:rsid w:val="005B2F83"/>
    <w:rsid w:val="005B311B"/>
    <w:rsid w:val="005B35B7"/>
    <w:rsid w:val="005B4067"/>
    <w:rsid w:val="005B6BB1"/>
    <w:rsid w:val="005B747D"/>
    <w:rsid w:val="005B7922"/>
    <w:rsid w:val="005C0493"/>
    <w:rsid w:val="005C050F"/>
    <w:rsid w:val="005C1302"/>
    <w:rsid w:val="005C1C8E"/>
    <w:rsid w:val="005C2A0E"/>
    <w:rsid w:val="005C2AA6"/>
    <w:rsid w:val="005C3F41"/>
    <w:rsid w:val="005C4147"/>
    <w:rsid w:val="005C5E95"/>
    <w:rsid w:val="005C6060"/>
    <w:rsid w:val="005C6FCD"/>
    <w:rsid w:val="005D0119"/>
    <w:rsid w:val="005D0253"/>
    <w:rsid w:val="005D0478"/>
    <w:rsid w:val="005D126E"/>
    <w:rsid w:val="005D2ADE"/>
    <w:rsid w:val="005D2C64"/>
    <w:rsid w:val="005D2D09"/>
    <w:rsid w:val="005D53E7"/>
    <w:rsid w:val="005D556D"/>
    <w:rsid w:val="005D5F2A"/>
    <w:rsid w:val="005D6516"/>
    <w:rsid w:val="005D6D40"/>
    <w:rsid w:val="005D78E0"/>
    <w:rsid w:val="005E0256"/>
    <w:rsid w:val="005E02BF"/>
    <w:rsid w:val="005E0830"/>
    <w:rsid w:val="005E0B90"/>
    <w:rsid w:val="005E18AC"/>
    <w:rsid w:val="005E1BBE"/>
    <w:rsid w:val="005E2408"/>
    <w:rsid w:val="005E2BC0"/>
    <w:rsid w:val="005E3469"/>
    <w:rsid w:val="005E4A33"/>
    <w:rsid w:val="005E4D87"/>
    <w:rsid w:val="005E51EB"/>
    <w:rsid w:val="005E6E49"/>
    <w:rsid w:val="005E7049"/>
    <w:rsid w:val="005E7FA0"/>
    <w:rsid w:val="005F01E9"/>
    <w:rsid w:val="005F025D"/>
    <w:rsid w:val="005F2DB8"/>
    <w:rsid w:val="005F2FA8"/>
    <w:rsid w:val="005F37CE"/>
    <w:rsid w:val="005F3ABD"/>
    <w:rsid w:val="005F4796"/>
    <w:rsid w:val="005F5D9F"/>
    <w:rsid w:val="005F6F85"/>
    <w:rsid w:val="005F77CC"/>
    <w:rsid w:val="005F7F1C"/>
    <w:rsid w:val="005F7F46"/>
    <w:rsid w:val="00600197"/>
    <w:rsid w:val="00600219"/>
    <w:rsid w:val="006002EC"/>
    <w:rsid w:val="006006E8"/>
    <w:rsid w:val="00600906"/>
    <w:rsid w:val="0060090E"/>
    <w:rsid w:val="00600968"/>
    <w:rsid w:val="00601260"/>
    <w:rsid w:val="00601564"/>
    <w:rsid w:val="006035AD"/>
    <w:rsid w:val="00603DC4"/>
    <w:rsid w:val="00605B9D"/>
    <w:rsid w:val="00605FF4"/>
    <w:rsid w:val="00606B6F"/>
    <w:rsid w:val="00606BBD"/>
    <w:rsid w:val="00607ABC"/>
    <w:rsid w:val="00607B98"/>
    <w:rsid w:val="006102AA"/>
    <w:rsid w:val="00610A58"/>
    <w:rsid w:val="00610A83"/>
    <w:rsid w:val="00611B82"/>
    <w:rsid w:val="00612607"/>
    <w:rsid w:val="00612807"/>
    <w:rsid w:val="006139EC"/>
    <w:rsid w:val="00614DAD"/>
    <w:rsid w:val="0061500C"/>
    <w:rsid w:val="0061541D"/>
    <w:rsid w:val="00615A86"/>
    <w:rsid w:val="00617648"/>
    <w:rsid w:val="006179B8"/>
    <w:rsid w:val="00617A7B"/>
    <w:rsid w:val="00617D6E"/>
    <w:rsid w:val="00617F83"/>
    <w:rsid w:val="00620076"/>
    <w:rsid w:val="00620673"/>
    <w:rsid w:val="00620F30"/>
    <w:rsid w:val="0062128F"/>
    <w:rsid w:val="00623F89"/>
    <w:rsid w:val="006241E1"/>
    <w:rsid w:val="00624368"/>
    <w:rsid w:val="006249C4"/>
    <w:rsid w:val="006252A6"/>
    <w:rsid w:val="00626E96"/>
    <w:rsid w:val="0063042F"/>
    <w:rsid w:val="00631289"/>
    <w:rsid w:val="006316A6"/>
    <w:rsid w:val="00631BFF"/>
    <w:rsid w:val="00631C0C"/>
    <w:rsid w:val="00632775"/>
    <w:rsid w:val="00633308"/>
    <w:rsid w:val="006340E8"/>
    <w:rsid w:val="006349C1"/>
    <w:rsid w:val="006352B6"/>
    <w:rsid w:val="00637A1C"/>
    <w:rsid w:val="00637C02"/>
    <w:rsid w:val="00640E6D"/>
    <w:rsid w:val="00642212"/>
    <w:rsid w:val="00642502"/>
    <w:rsid w:val="006427DA"/>
    <w:rsid w:val="0064319E"/>
    <w:rsid w:val="00643B4C"/>
    <w:rsid w:val="00643B82"/>
    <w:rsid w:val="00643BB2"/>
    <w:rsid w:val="006447FC"/>
    <w:rsid w:val="00644DC4"/>
    <w:rsid w:val="006450B0"/>
    <w:rsid w:val="00645365"/>
    <w:rsid w:val="0064572A"/>
    <w:rsid w:val="00645735"/>
    <w:rsid w:val="0064635D"/>
    <w:rsid w:val="00647693"/>
    <w:rsid w:val="00650DCA"/>
    <w:rsid w:val="00651325"/>
    <w:rsid w:val="00651B7C"/>
    <w:rsid w:val="00651CB8"/>
    <w:rsid w:val="00651D6D"/>
    <w:rsid w:val="0065214C"/>
    <w:rsid w:val="0065256A"/>
    <w:rsid w:val="006539A9"/>
    <w:rsid w:val="006553A7"/>
    <w:rsid w:val="00655BEA"/>
    <w:rsid w:val="0065603B"/>
    <w:rsid w:val="00656D53"/>
    <w:rsid w:val="00657777"/>
    <w:rsid w:val="00657BAF"/>
    <w:rsid w:val="00660803"/>
    <w:rsid w:val="006618D8"/>
    <w:rsid w:val="00661BE2"/>
    <w:rsid w:val="00661F2A"/>
    <w:rsid w:val="00663E40"/>
    <w:rsid w:val="00664FD0"/>
    <w:rsid w:val="006650CB"/>
    <w:rsid w:val="00666513"/>
    <w:rsid w:val="00667082"/>
    <w:rsid w:val="00667B2B"/>
    <w:rsid w:val="00670EA1"/>
    <w:rsid w:val="006715DB"/>
    <w:rsid w:val="00671B04"/>
    <w:rsid w:val="00671E40"/>
    <w:rsid w:val="00675791"/>
    <w:rsid w:val="00675B8D"/>
    <w:rsid w:val="006765A5"/>
    <w:rsid w:val="00676ECD"/>
    <w:rsid w:val="00676EF4"/>
    <w:rsid w:val="0067741F"/>
    <w:rsid w:val="00677504"/>
    <w:rsid w:val="00677CC2"/>
    <w:rsid w:val="00680432"/>
    <w:rsid w:val="00682793"/>
    <w:rsid w:val="00682ECB"/>
    <w:rsid w:val="00683686"/>
    <w:rsid w:val="00683D33"/>
    <w:rsid w:val="0068405B"/>
    <w:rsid w:val="00684323"/>
    <w:rsid w:val="00684B38"/>
    <w:rsid w:val="006859A8"/>
    <w:rsid w:val="00686269"/>
    <w:rsid w:val="00686518"/>
    <w:rsid w:val="00686527"/>
    <w:rsid w:val="0068688D"/>
    <w:rsid w:val="006879C9"/>
    <w:rsid w:val="006905DE"/>
    <w:rsid w:val="00691666"/>
    <w:rsid w:val="0069174B"/>
    <w:rsid w:val="00691860"/>
    <w:rsid w:val="00691DA6"/>
    <w:rsid w:val="00691F23"/>
    <w:rsid w:val="0069207B"/>
    <w:rsid w:val="00692DB7"/>
    <w:rsid w:val="00693FC4"/>
    <w:rsid w:val="006944A8"/>
    <w:rsid w:val="00694678"/>
    <w:rsid w:val="00694D99"/>
    <w:rsid w:val="00696711"/>
    <w:rsid w:val="00696B16"/>
    <w:rsid w:val="00697331"/>
    <w:rsid w:val="006A0351"/>
    <w:rsid w:val="006A2280"/>
    <w:rsid w:val="006A3146"/>
    <w:rsid w:val="006A4C66"/>
    <w:rsid w:val="006A5BD9"/>
    <w:rsid w:val="006A6B87"/>
    <w:rsid w:val="006A6C83"/>
    <w:rsid w:val="006A701C"/>
    <w:rsid w:val="006A7AC6"/>
    <w:rsid w:val="006A7F24"/>
    <w:rsid w:val="006B0DE2"/>
    <w:rsid w:val="006B0FE8"/>
    <w:rsid w:val="006B164E"/>
    <w:rsid w:val="006B19BE"/>
    <w:rsid w:val="006B203B"/>
    <w:rsid w:val="006B2579"/>
    <w:rsid w:val="006B2C97"/>
    <w:rsid w:val="006B31E4"/>
    <w:rsid w:val="006B3711"/>
    <w:rsid w:val="006B4CCF"/>
    <w:rsid w:val="006B5450"/>
    <w:rsid w:val="006B5789"/>
    <w:rsid w:val="006B63A6"/>
    <w:rsid w:val="006B6A99"/>
    <w:rsid w:val="006C0304"/>
    <w:rsid w:val="006C14B7"/>
    <w:rsid w:val="006C1C80"/>
    <w:rsid w:val="006C208F"/>
    <w:rsid w:val="006C2563"/>
    <w:rsid w:val="006C259B"/>
    <w:rsid w:val="006C30C5"/>
    <w:rsid w:val="006C516C"/>
    <w:rsid w:val="006C5B2B"/>
    <w:rsid w:val="006C5D15"/>
    <w:rsid w:val="006C70A0"/>
    <w:rsid w:val="006C7327"/>
    <w:rsid w:val="006C75B3"/>
    <w:rsid w:val="006C7F8C"/>
    <w:rsid w:val="006D1618"/>
    <w:rsid w:val="006D1D49"/>
    <w:rsid w:val="006D1E1E"/>
    <w:rsid w:val="006D1E7E"/>
    <w:rsid w:val="006D21BA"/>
    <w:rsid w:val="006D2E96"/>
    <w:rsid w:val="006D2EFF"/>
    <w:rsid w:val="006D43F4"/>
    <w:rsid w:val="006D4692"/>
    <w:rsid w:val="006D5AB7"/>
    <w:rsid w:val="006D63A7"/>
    <w:rsid w:val="006D72C6"/>
    <w:rsid w:val="006D72EA"/>
    <w:rsid w:val="006D746B"/>
    <w:rsid w:val="006E0307"/>
    <w:rsid w:val="006E0369"/>
    <w:rsid w:val="006E09DE"/>
    <w:rsid w:val="006E10BA"/>
    <w:rsid w:val="006E1A1D"/>
    <w:rsid w:val="006E2AEC"/>
    <w:rsid w:val="006E39FD"/>
    <w:rsid w:val="006E3A0F"/>
    <w:rsid w:val="006E40BE"/>
    <w:rsid w:val="006E456B"/>
    <w:rsid w:val="006E45E4"/>
    <w:rsid w:val="006E603F"/>
    <w:rsid w:val="006E6246"/>
    <w:rsid w:val="006E7139"/>
    <w:rsid w:val="006E7B54"/>
    <w:rsid w:val="006F0984"/>
    <w:rsid w:val="006F134E"/>
    <w:rsid w:val="006F15FE"/>
    <w:rsid w:val="006F27B1"/>
    <w:rsid w:val="006F2ABD"/>
    <w:rsid w:val="006F315B"/>
    <w:rsid w:val="006F318F"/>
    <w:rsid w:val="006F35EB"/>
    <w:rsid w:val="006F4226"/>
    <w:rsid w:val="006F53F8"/>
    <w:rsid w:val="006F6393"/>
    <w:rsid w:val="006F64CE"/>
    <w:rsid w:val="006F6BFF"/>
    <w:rsid w:val="006F6E00"/>
    <w:rsid w:val="006F71C8"/>
    <w:rsid w:val="006F7231"/>
    <w:rsid w:val="006F7641"/>
    <w:rsid w:val="006F7D2B"/>
    <w:rsid w:val="006F7F3B"/>
    <w:rsid w:val="00700146"/>
    <w:rsid w:val="0070017E"/>
    <w:rsid w:val="00700450"/>
    <w:rsid w:val="0070081E"/>
    <w:rsid w:val="00700B2C"/>
    <w:rsid w:val="00701212"/>
    <w:rsid w:val="00701793"/>
    <w:rsid w:val="007019AD"/>
    <w:rsid w:val="00702A26"/>
    <w:rsid w:val="00702D82"/>
    <w:rsid w:val="0070455F"/>
    <w:rsid w:val="007050A2"/>
    <w:rsid w:val="007057BD"/>
    <w:rsid w:val="00707918"/>
    <w:rsid w:val="00707EC7"/>
    <w:rsid w:val="0071076A"/>
    <w:rsid w:val="007123FD"/>
    <w:rsid w:val="00712437"/>
    <w:rsid w:val="0071273D"/>
    <w:rsid w:val="00713084"/>
    <w:rsid w:val="007132D1"/>
    <w:rsid w:val="00713855"/>
    <w:rsid w:val="0071394A"/>
    <w:rsid w:val="007144D8"/>
    <w:rsid w:val="00714F20"/>
    <w:rsid w:val="00715058"/>
    <w:rsid w:val="0071565C"/>
    <w:rsid w:val="0071590F"/>
    <w:rsid w:val="00715914"/>
    <w:rsid w:val="00715A0D"/>
    <w:rsid w:val="00715B09"/>
    <w:rsid w:val="00715C70"/>
    <w:rsid w:val="00716873"/>
    <w:rsid w:val="00720075"/>
    <w:rsid w:val="00720135"/>
    <w:rsid w:val="0072093A"/>
    <w:rsid w:val="00721605"/>
    <w:rsid w:val="0072192B"/>
    <w:rsid w:val="00723695"/>
    <w:rsid w:val="00723D60"/>
    <w:rsid w:val="00723EDC"/>
    <w:rsid w:val="0072435C"/>
    <w:rsid w:val="007247E2"/>
    <w:rsid w:val="007263A8"/>
    <w:rsid w:val="0072669B"/>
    <w:rsid w:val="007267BF"/>
    <w:rsid w:val="007269E5"/>
    <w:rsid w:val="00726A03"/>
    <w:rsid w:val="00726C39"/>
    <w:rsid w:val="007270DB"/>
    <w:rsid w:val="00727867"/>
    <w:rsid w:val="007278FD"/>
    <w:rsid w:val="00730810"/>
    <w:rsid w:val="00730946"/>
    <w:rsid w:val="00730DF3"/>
    <w:rsid w:val="00731E00"/>
    <w:rsid w:val="00732A14"/>
    <w:rsid w:val="00733EB6"/>
    <w:rsid w:val="0073404A"/>
    <w:rsid w:val="00734D32"/>
    <w:rsid w:val="007354E2"/>
    <w:rsid w:val="00735D00"/>
    <w:rsid w:val="00736354"/>
    <w:rsid w:val="0073689F"/>
    <w:rsid w:val="00736E68"/>
    <w:rsid w:val="007372D6"/>
    <w:rsid w:val="007400F6"/>
    <w:rsid w:val="0074057C"/>
    <w:rsid w:val="00740E45"/>
    <w:rsid w:val="007411C6"/>
    <w:rsid w:val="00741728"/>
    <w:rsid w:val="007434D0"/>
    <w:rsid w:val="007440B7"/>
    <w:rsid w:val="00744DAE"/>
    <w:rsid w:val="00745507"/>
    <w:rsid w:val="00745943"/>
    <w:rsid w:val="00745CD8"/>
    <w:rsid w:val="00745F1D"/>
    <w:rsid w:val="00746203"/>
    <w:rsid w:val="007471BC"/>
    <w:rsid w:val="00747921"/>
    <w:rsid w:val="007500C8"/>
    <w:rsid w:val="00752DEB"/>
    <w:rsid w:val="00753326"/>
    <w:rsid w:val="00754610"/>
    <w:rsid w:val="007551E8"/>
    <w:rsid w:val="007554A3"/>
    <w:rsid w:val="00755AE4"/>
    <w:rsid w:val="00755B25"/>
    <w:rsid w:val="00755CFD"/>
    <w:rsid w:val="00755DEE"/>
    <w:rsid w:val="00755E85"/>
    <w:rsid w:val="00756272"/>
    <w:rsid w:val="00756ACF"/>
    <w:rsid w:val="0075745D"/>
    <w:rsid w:val="00757D51"/>
    <w:rsid w:val="007604FF"/>
    <w:rsid w:val="007629F9"/>
    <w:rsid w:val="00763784"/>
    <w:rsid w:val="00763B5D"/>
    <w:rsid w:val="00764C57"/>
    <w:rsid w:val="00765781"/>
    <w:rsid w:val="00766603"/>
    <w:rsid w:val="0076681A"/>
    <w:rsid w:val="007677B0"/>
    <w:rsid w:val="00770809"/>
    <w:rsid w:val="007715C9"/>
    <w:rsid w:val="00771613"/>
    <w:rsid w:val="00772800"/>
    <w:rsid w:val="00773BAF"/>
    <w:rsid w:val="00774127"/>
    <w:rsid w:val="00774EDD"/>
    <w:rsid w:val="007751BE"/>
    <w:rsid w:val="007757EC"/>
    <w:rsid w:val="00776B27"/>
    <w:rsid w:val="00777497"/>
    <w:rsid w:val="00777B20"/>
    <w:rsid w:val="007802D1"/>
    <w:rsid w:val="007829A2"/>
    <w:rsid w:val="00783D41"/>
    <w:rsid w:val="00783E89"/>
    <w:rsid w:val="007841DF"/>
    <w:rsid w:val="00784797"/>
    <w:rsid w:val="00784F21"/>
    <w:rsid w:val="0078589A"/>
    <w:rsid w:val="00785D37"/>
    <w:rsid w:val="00786457"/>
    <w:rsid w:val="0078727B"/>
    <w:rsid w:val="00787378"/>
    <w:rsid w:val="007874F9"/>
    <w:rsid w:val="00787C2D"/>
    <w:rsid w:val="00790576"/>
    <w:rsid w:val="00791CD8"/>
    <w:rsid w:val="00792702"/>
    <w:rsid w:val="00793894"/>
    <w:rsid w:val="00793911"/>
    <w:rsid w:val="00793915"/>
    <w:rsid w:val="00793D96"/>
    <w:rsid w:val="007940DD"/>
    <w:rsid w:val="0079428D"/>
    <w:rsid w:val="00794632"/>
    <w:rsid w:val="00795A22"/>
    <w:rsid w:val="00795C8D"/>
    <w:rsid w:val="007963F0"/>
    <w:rsid w:val="007A0B4C"/>
    <w:rsid w:val="007A130B"/>
    <w:rsid w:val="007A17A1"/>
    <w:rsid w:val="007A2E71"/>
    <w:rsid w:val="007A31C7"/>
    <w:rsid w:val="007A3304"/>
    <w:rsid w:val="007A3D9B"/>
    <w:rsid w:val="007A57F8"/>
    <w:rsid w:val="007A5CD7"/>
    <w:rsid w:val="007A6863"/>
    <w:rsid w:val="007A6878"/>
    <w:rsid w:val="007A6DB1"/>
    <w:rsid w:val="007B0B3A"/>
    <w:rsid w:val="007B2D63"/>
    <w:rsid w:val="007B38AA"/>
    <w:rsid w:val="007B59BB"/>
    <w:rsid w:val="007B5B43"/>
    <w:rsid w:val="007B6A14"/>
    <w:rsid w:val="007B7764"/>
    <w:rsid w:val="007B7ABE"/>
    <w:rsid w:val="007C1963"/>
    <w:rsid w:val="007C2253"/>
    <w:rsid w:val="007C620D"/>
    <w:rsid w:val="007C6476"/>
    <w:rsid w:val="007C74C2"/>
    <w:rsid w:val="007D0622"/>
    <w:rsid w:val="007D34E5"/>
    <w:rsid w:val="007D3CD5"/>
    <w:rsid w:val="007D3ECD"/>
    <w:rsid w:val="007D42FE"/>
    <w:rsid w:val="007D4AD2"/>
    <w:rsid w:val="007D4B7B"/>
    <w:rsid w:val="007D4DE3"/>
    <w:rsid w:val="007D595D"/>
    <w:rsid w:val="007D5A63"/>
    <w:rsid w:val="007D5E83"/>
    <w:rsid w:val="007D6616"/>
    <w:rsid w:val="007D7A94"/>
    <w:rsid w:val="007D7B81"/>
    <w:rsid w:val="007E0831"/>
    <w:rsid w:val="007E098D"/>
    <w:rsid w:val="007E10C0"/>
    <w:rsid w:val="007E163D"/>
    <w:rsid w:val="007E23C0"/>
    <w:rsid w:val="007E25FC"/>
    <w:rsid w:val="007E317E"/>
    <w:rsid w:val="007E40E1"/>
    <w:rsid w:val="007E505A"/>
    <w:rsid w:val="007E5831"/>
    <w:rsid w:val="007E6272"/>
    <w:rsid w:val="007E667A"/>
    <w:rsid w:val="007E69DA"/>
    <w:rsid w:val="007E71BA"/>
    <w:rsid w:val="007E7E02"/>
    <w:rsid w:val="007F026D"/>
    <w:rsid w:val="007F0E84"/>
    <w:rsid w:val="007F2182"/>
    <w:rsid w:val="007F28C9"/>
    <w:rsid w:val="007F3132"/>
    <w:rsid w:val="007F3DCE"/>
    <w:rsid w:val="007F403F"/>
    <w:rsid w:val="007F51D0"/>
    <w:rsid w:val="007F537D"/>
    <w:rsid w:val="007F637C"/>
    <w:rsid w:val="007F699C"/>
    <w:rsid w:val="007F6A9D"/>
    <w:rsid w:val="00800ECA"/>
    <w:rsid w:val="00800FAF"/>
    <w:rsid w:val="008021BE"/>
    <w:rsid w:val="008022C0"/>
    <w:rsid w:val="0080258F"/>
    <w:rsid w:val="00803587"/>
    <w:rsid w:val="00804BC6"/>
    <w:rsid w:val="00806A58"/>
    <w:rsid w:val="00806C1C"/>
    <w:rsid w:val="0080707F"/>
    <w:rsid w:val="008074FE"/>
    <w:rsid w:val="00807626"/>
    <w:rsid w:val="008105A5"/>
    <w:rsid w:val="00810E7C"/>
    <w:rsid w:val="008117D4"/>
    <w:rsid w:val="008117E9"/>
    <w:rsid w:val="00812061"/>
    <w:rsid w:val="00812181"/>
    <w:rsid w:val="00812E44"/>
    <w:rsid w:val="00813056"/>
    <w:rsid w:val="008136D3"/>
    <w:rsid w:val="008146CC"/>
    <w:rsid w:val="00814D90"/>
    <w:rsid w:val="008154BE"/>
    <w:rsid w:val="00816EBC"/>
    <w:rsid w:val="00817032"/>
    <w:rsid w:val="008171D3"/>
    <w:rsid w:val="0081777F"/>
    <w:rsid w:val="00821707"/>
    <w:rsid w:val="00821CD2"/>
    <w:rsid w:val="0082203F"/>
    <w:rsid w:val="008226EB"/>
    <w:rsid w:val="00822845"/>
    <w:rsid w:val="008234EE"/>
    <w:rsid w:val="0082362F"/>
    <w:rsid w:val="00823FB6"/>
    <w:rsid w:val="00824498"/>
    <w:rsid w:val="00824CD0"/>
    <w:rsid w:val="00824DE9"/>
    <w:rsid w:val="00825876"/>
    <w:rsid w:val="00825F33"/>
    <w:rsid w:val="00826A38"/>
    <w:rsid w:val="00826EE9"/>
    <w:rsid w:val="008308DD"/>
    <w:rsid w:val="00830FF4"/>
    <w:rsid w:val="00831704"/>
    <w:rsid w:val="00831B53"/>
    <w:rsid w:val="00831EF5"/>
    <w:rsid w:val="00832ED8"/>
    <w:rsid w:val="008339F7"/>
    <w:rsid w:val="00834168"/>
    <w:rsid w:val="008350C7"/>
    <w:rsid w:val="0083525F"/>
    <w:rsid w:val="00836196"/>
    <w:rsid w:val="0083643E"/>
    <w:rsid w:val="00837DA0"/>
    <w:rsid w:val="00840634"/>
    <w:rsid w:val="008413C9"/>
    <w:rsid w:val="00841BD7"/>
    <w:rsid w:val="00842B5D"/>
    <w:rsid w:val="00842C80"/>
    <w:rsid w:val="0084447D"/>
    <w:rsid w:val="008447A4"/>
    <w:rsid w:val="00845A39"/>
    <w:rsid w:val="00846E22"/>
    <w:rsid w:val="00850C3A"/>
    <w:rsid w:val="00850DD7"/>
    <w:rsid w:val="008513AC"/>
    <w:rsid w:val="00854665"/>
    <w:rsid w:val="00854949"/>
    <w:rsid w:val="008563D9"/>
    <w:rsid w:val="008568F2"/>
    <w:rsid w:val="00856A31"/>
    <w:rsid w:val="0085745E"/>
    <w:rsid w:val="0085758A"/>
    <w:rsid w:val="008617DF"/>
    <w:rsid w:val="008617F9"/>
    <w:rsid w:val="008627CC"/>
    <w:rsid w:val="00862CC7"/>
    <w:rsid w:val="008642C5"/>
    <w:rsid w:val="008642DC"/>
    <w:rsid w:val="008648AD"/>
    <w:rsid w:val="00864B24"/>
    <w:rsid w:val="00864F6B"/>
    <w:rsid w:val="00864FAA"/>
    <w:rsid w:val="00865045"/>
    <w:rsid w:val="0086528C"/>
    <w:rsid w:val="00866975"/>
    <w:rsid w:val="0086760F"/>
    <w:rsid w:val="00867B37"/>
    <w:rsid w:val="00870FE3"/>
    <w:rsid w:val="00871370"/>
    <w:rsid w:val="0087172E"/>
    <w:rsid w:val="00871BE4"/>
    <w:rsid w:val="00872975"/>
    <w:rsid w:val="0087303A"/>
    <w:rsid w:val="008754D0"/>
    <w:rsid w:val="008763E4"/>
    <w:rsid w:val="008804C0"/>
    <w:rsid w:val="00880815"/>
    <w:rsid w:val="008808DD"/>
    <w:rsid w:val="00880A68"/>
    <w:rsid w:val="008810FB"/>
    <w:rsid w:val="0088282D"/>
    <w:rsid w:val="0088287E"/>
    <w:rsid w:val="008830BF"/>
    <w:rsid w:val="00883146"/>
    <w:rsid w:val="00883765"/>
    <w:rsid w:val="00883E3A"/>
    <w:rsid w:val="00883EFD"/>
    <w:rsid w:val="00884922"/>
    <w:rsid w:val="00884B13"/>
    <w:rsid w:val="008855C9"/>
    <w:rsid w:val="00886456"/>
    <w:rsid w:val="0088661B"/>
    <w:rsid w:val="0088703D"/>
    <w:rsid w:val="0089079F"/>
    <w:rsid w:val="00891016"/>
    <w:rsid w:val="00891426"/>
    <w:rsid w:val="00891459"/>
    <w:rsid w:val="008914DC"/>
    <w:rsid w:val="0089158A"/>
    <w:rsid w:val="00891B7B"/>
    <w:rsid w:val="008921C9"/>
    <w:rsid w:val="0089230C"/>
    <w:rsid w:val="008923B4"/>
    <w:rsid w:val="00892EF1"/>
    <w:rsid w:val="00893A59"/>
    <w:rsid w:val="00897D25"/>
    <w:rsid w:val="008A04E4"/>
    <w:rsid w:val="008A04F3"/>
    <w:rsid w:val="008A0923"/>
    <w:rsid w:val="008A1AAC"/>
    <w:rsid w:val="008A206C"/>
    <w:rsid w:val="008A27FC"/>
    <w:rsid w:val="008A3497"/>
    <w:rsid w:val="008A3E70"/>
    <w:rsid w:val="008A46E1"/>
    <w:rsid w:val="008A4A47"/>
    <w:rsid w:val="008A4DE3"/>
    <w:rsid w:val="008A4F43"/>
    <w:rsid w:val="008A6405"/>
    <w:rsid w:val="008A6813"/>
    <w:rsid w:val="008B0EF5"/>
    <w:rsid w:val="008B2706"/>
    <w:rsid w:val="008B28EA"/>
    <w:rsid w:val="008B4086"/>
    <w:rsid w:val="008B6CFA"/>
    <w:rsid w:val="008B72D5"/>
    <w:rsid w:val="008B7BC4"/>
    <w:rsid w:val="008C0F13"/>
    <w:rsid w:val="008C12B9"/>
    <w:rsid w:val="008C2287"/>
    <w:rsid w:val="008C242B"/>
    <w:rsid w:val="008C2B01"/>
    <w:rsid w:val="008C364B"/>
    <w:rsid w:val="008C3F79"/>
    <w:rsid w:val="008C4967"/>
    <w:rsid w:val="008C5084"/>
    <w:rsid w:val="008C63DE"/>
    <w:rsid w:val="008C70EF"/>
    <w:rsid w:val="008C71D2"/>
    <w:rsid w:val="008D0EE0"/>
    <w:rsid w:val="008D30A4"/>
    <w:rsid w:val="008D3A7B"/>
    <w:rsid w:val="008D461B"/>
    <w:rsid w:val="008D4D00"/>
    <w:rsid w:val="008D5CEF"/>
    <w:rsid w:val="008D6AFD"/>
    <w:rsid w:val="008E081E"/>
    <w:rsid w:val="008E18A8"/>
    <w:rsid w:val="008E1E4E"/>
    <w:rsid w:val="008E24DB"/>
    <w:rsid w:val="008E3682"/>
    <w:rsid w:val="008E43EA"/>
    <w:rsid w:val="008E4634"/>
    <w:rsid w:val="008E4E35"/>
    <w:rsid w:val="008E55F5"/>
    <w:rsid w:val="008E6067"/>
    <w:rsid w:val="008E7D0B"/>
    <w:rsid w:val="008F0605"/>
    <w:rsid w:val="008F2003"/>
    <w:rsid w:val="008F238C"/>
    <w:rsid w:val="008F269E"/>
    <w:rsid w:val="008F319D"/>
    <w:rsid w:val="008F31D2"/>
    <w:rsid w:val="008F54E7"/>
    <w:rsid w:val="008F5C06"/>
    <w:rsid w:val="008F62DC"/>
    <w:rsid w:val="008F62FA"/>
    <w:rsid w:val="008F7AFA"/>
    <w:rsid w:val="009002B5"/>
    <w:rsid w:val="0090067D"/>
    <w:rsid w:val="00900CD6"/>
    <w:rsid w:val="0090187E"/>
    <w:rsid w:val="00901CBE"/>
    <w:rsid w:val="0090206A"/>
    <w:rsid w:val="009029D0"/>
    <w:rsid w:val="00903422"/>
    <w:rsid w:val="009050D9"/>
    <w:rsid w:val="00905145"/>
    <w:rsid w:val="00905785"/>
    <w:rsid w:val="00906D84"/>
    <w:rsid w:val="00907693"/>
    <w:rsid w:val="00907AF3"/>
    <w:rsid w:val="00910CFE"/>
    <w:rsid w:val="009113CB"/>
    <w:rsid w:val="009116BB"/>
    <w:rsid w:val="00911F54"/>
    <w:rsid w:val="00912858"/>
    <w:rsid w:val="009128DE"/>
    <w:rsid w:val="009139DF"/>
    <w:rsid w:val="00913EFF"/>
    <w:rsid w:val="00914D2E"/>
    <w:rsid w:val="00914F0B"/>
    <w:rsid w:val="00914F3D"/>
    <w:rsid w:val="009151CA"/>
    <w:rsid w:val="00915AB5"/>
    <w:rsid w:val="00915C3D"/>
    <w:rsid w:val="00915DF9"/>
    <w:rsid w:val="009163C3"/>
    <w:rsid w:val="009168C6"/>
    <w:rsid w:val="00917746"/>
    <w:rsid w:val="00920FC3"/>
    <w:rsid w:val="00921778"/>
    <w:rsid w:val="009232B0"/>
    <w:rsid w:val="00924853"/>
    <w:rsid w:val="00924F52"/>
    <w:rsid w:val="009250C5"/>
    <w:rsid w:val="00925492"/>
    <w:rsid w:val="009254C3"/>
    <w:rsid w:val="009260EB"/>
    <w:rsid w:val="0092694B"/>
    <w:rsid w:val="00926B3C"/>
    <w:rsid w:val="0092706C"/>
    <w:rsid w:val="00930181"/>
    <w:rsid w:val="00930F5E"/>
    <w:rsid w:val="00931C44"/>
    <w:rsid w:val="0093202F"/>
    <w:rsid w:val="00932377"/>
    <w:rsid w:val="009352AB"/>
    <w:rsid w:val="00935D17"/>
    <w:rsid w:val="009360F3"/>
    <w:rsid w:val="00937295"/>
    <w:rsid w:val="00937950"/>
    <w:rsid w:val="00941094"/>
    <w:rsid w:val="009423CE"/>
    <w:rsid w:val="00942ECC"/>
    <w:rsid w:val="00943299"/>
    <w:rsid w:val="0094475F"/>
    <w:rsid w:val="00944E5B"/>
    <w:rsid w:val="009459BF"/>
    <w:rsid w:val="009474A7"/>
    <w:rsid w:val="009478B6"/>
    <w:rsid w:val="00947D5A"/>
    <w:rsid w:val="00950BF4"/>
    <w:rsid w:val="009525B2"/>
    <w:rsid w:val="009532A5"/>
    <w:rsid w:val="00953C60"/>
    <w:rsid w:val="00954440"/>
    <w:rsid w:val="009545D1"/>
    <w:rsid w:val="0095494B"/>
    <w:rsid w:val="00954DC0"/>
    <w:rsid w:val="00954E9A"/>
    <w:rsid w:val="009550CD"/>
    <w:rsid w:val="0095688A"/>
    <w:rsid w:val="009568BD"/>
    <w:rsid w:val="009605AE"/>
    <w:rsid w:val="009608FD"/>
    <w:rsid w:val="00961642"/>
    <w:rsid w:val="00961C50"/>
    <w:rsid w:val="00962AEC"/>
    <w:rsid w:val="00962BB4"/>
    <w:rsid w:val="0096391D"/>
    <w:rsid w:val="00963937"/>
    <w:rsid w:val="00964EFE"/>
    <w:rsid w:val="0096541A"/>
    <w:rsid w:val="00965423"/>
    <w:rsid w:val="009660AE"/>
    <w:rsid w:val="009661BB"/>
    <w:rsid w:val="009678C0"/>
    <w:rsid w:val="00967D02"/>
    <w:rsid w:val="009728F5"/>
    <w:rsid w:val="009738E0"/>
    <w:rsid w:val="00973CE1"/>
    <w:rsid w:val="00973D61"/>
    <w:rsid w:val="00974DC9"/>
    <w:rsid w:val="009762A2"/>
    <w:rsid w:val="00980268"/>
    <w:rsid w:val="00980A4E"/>
    <w:rsid w:val="00980ABC"/>
    <w:rsid w:val="00980C03"/>
    <w:rsid w:val="00980C40"/>
    <w:rsid w:val="009820A1"/>
    <w:rsid w:val="00982242"/>
    <w:rsid w:val="00983391"/>
    <w:rsid w:val="009846FF"/>
    <w:rsid w:val="00984A40"/>
    <w:rsid w:val="009852A3"/>
    <w:rsid w:val="00985806"/>
    <w:rsid w:val="00985E36"/>
    <w:rsid w:val="00986029"/>
    <w:rsid w:val="00986589"/>
    <w:rsid w:val="009868E9"/>
    <w:rsid w:val="00992F6D"/>
    <w:rsid w:val="0099399F"/>
    <w:rsid w:val="00994456"/>
    <w:rsid w:val="00994CBD"/>
    <w:rsid w:val="0099553C"/>
    <w:rsid w:val="0099557E"/>
    <w:rsid w:val="00996894"/>
    <w:rsid w:val="00996F25"/>
    <w:rsid w:val="009A063A"/>
    <w:rsid w:val="009A13C6"/>
    <w:rsid w:val="009A14FA"/>
    <w:rsid w:val="009A3EC1"/>
    <w:rsid w:val="009A4059"/>
    <w:rsid w:val="009A4CFC"/>
    <w:rsid w:val="009A5155"/>
    <w:rsid w:val="009A5B2C"/>
    <w:rsid w:val="009A6296"/>
    <w:rsid w:val="009A6428"/>
    <w:rsid w:val="009A6B27"/>
    <w:rsid w:val="009A6E76"/>
    <w:rsid w:val="009A7020"/>
    <w:rsid w:val="009B02AB"/>
    <w:rsid w:val="009B152C"/>
    <w:rsid w:val="009B26A4"/>
    <w:rsid w:val="009B2A06"/>
    <w:rsid w:val="009B2CDB"/>
    <w:rsid w:val="009B3102"/>
    <w:rsid w:val="009B3D13"/>
    <w:rsid w:val="009B452D"/>
    <w:rsid w:val="009B50C5"/>
    <w:rsid w:val="009B51DE"/>
    <w:rsid w:val="009B53DC"/>
    <w:rsid w:val="009B5733"/>
    <w:rsid w:val="009B58BE"/>
    <w:rsid w:val="009B5AB3"/>
    <w:rsid w:val="009C0FAA"/>
    <w:rsid w:val="009C2010"/>
    <w:rsid w:val="009C25E5"/>
    <w:rsid w:val="009C2BF1"/>
    <w:rsid w:val="009C39F2"/>
    <w:rsid w:val="009C41DE"/>
    <w:rsid w:val="009C4311"/>
    <w:rsid w:val="009C480C"/>
    <w:rsid w:val="009C4A4D"/>
    <w:rsid w:val="009C4DB1"/>
    <w:rsid w:val="009C6119"/>
    <w:rsid w:val="009C6A37"/>
    <w:rsid w:val="009C6B74"/>
    <w:rsid w:val="009C6BD8"/>
    <w:rsid w:val="009C7B9F"/>
    <w:rsid w:val="009D1249"/>
    <w:rsid w:val="009D1AC7"/>
    <w:rsid w:val="009D1BC0"/>
    <w:rsid w:val="009D1E83"/>
    <w:rsid w:val="009D2BC4"/>
    <w:rsid w:val="009D2D1D"/>
    <w:rsid w:val="009D2E51"/>
    <w:rsid w:val="009D2EB0"/>
    <w:rsid w:val="009D33D3"/>
    <w:rsid w:val="009D40B6"/>
    <w:rsid w:val="009D4B64"/>
    <w:rsid w:val="009D4C8A"/>
    <w:rsid w:val="009D4F23"/>
    <w:rsid w:val="009D5427"/>
    <w:rsid w:val="009D563C"/>
    <w:rsid w:val="009D5FCF"/>
    <w:rsid w:val="009D757D"/>
    <w:rsid w:val="009E04F3"/>
    <w:rsid w:val="009E08FA"/>
    <w:rsid w:val="009E1240"/>
    <w:rsid w:val="009E1604"/>
    <w:rsid w:val="009E1C5C"/>
    <w:rsid w:val="009E1F06"/>
    <w:rsid w:val="009E2333"/>
    <w:rsid w:val="009E26A2"/>
    <w:rsid w:val="009E2753"/>
    <w:rsid w:val="009E40F8"/>
    <w:rsid w:val="009E5CFC"/>
    <w:rsid w:val="009E5DA3"/>
    <w:rsid w:val="009E7450"/>
    <w:rsid w:val="009F0FA6"/>
    <w:rsid w:val="009F1EA5"/>
    <w:rsid w:val="009F1F55"/>
    <w:rsid w:val="009F2845"/>
    <w:rsid w:val="009F2E97"/>
    <w:rsid w:val="009F34BB"/>
    <w:rsid w:val="009F3814"/>
    <w:rsid w:val="009F39A0"/>
    <w:rsid w:val="009F466D"/>
    <w:rsid w:val="009F506B"/>
    <w:rsid w:val="009F5439"/>
    <w:rsid w:val="009F583A"/>
    <w:rsid w:val="009F59ED"/>
    <w:rsid w:val="009F6685"/>
    <w:rsid w:val="009F66A4"/>
    <w:rsid w:val="00A00E8B"/>
    <w:rsid w:val="00A00FCD"/>
    <w:rsid w:val="00A013A8"/>
    <w:rsid w:val="00A01A6B"/>
    <w:rsid w:val="00A020C3"/>
    <w:rsid w:val="00A020D2"/>
    <w:rsid w:val="00A023E0"/>
    <w:rsid w:val="00A02524"/>
    <w:rsid w:val="00A029E2"/>
    <w:rsid w:val="00A034F4"/>
    <w:rsid w:val="00A036AE"/>
    <w:rsid w:val="00A03C64"/>
    <w:rsid w:val="00A04B0F"/>
    <w:rsid w:val="00A051D7"/>
    <w:rsid w:val="00A057A3"/>
    <w:rsid w:val="00A075D9"/>
    <w:rsid w:val="00A079CB"/>
    <w:rsid w:val="00A07C1C"/>
    <w:rsid w:val="00A07D1F"/>
    <w:rsid w:val="00A07FA3"/>
    <w:rsid w:val="00A10E20"/>
    <w:rsid w:val="00A11F8A"/>
    <w:rsid w:val="00A12128"/>
    <w:rsid w:val="00A128D2"/>
    <w:rsid w:val="00A133EA"/>
    <w:rsid w:val="00A1384D"/>
    <w:rsid w:val="00A1423B"/>
    <w:rsid w:val="00A15504"/>
    <w:rsid w:val="00A17399"/>
    <w:rsid w:val="00A17428"/>
    <w:rsid w:val="00A2234D"/>
    <w:rsid w:val="00A22452"/>
    <w:rsid w:val="00A22C98"/>
    <w:rsid w:val="00A231E2"/>
    <w:rsid w:val="00A233A1"/>
    <w:rsid w:val="00A24E7C"/>
    <w:rsid w:val="00A25750"/>
    <w:rsid w:val="00A25910"/>
    <w:rsid w:val="00A25E52"/>
    <w:rsid w:val="00A265CB"/>
    <w:rsid w:val="00A26E8F"/>
    <w:rsid w:val="00A305AE"/>
    <w:rsid w:val="00A31101"/>
    <w:rsid w:val="00A31B05"/>
    <w:rsid w:val="00A32FB9"/>
    <w:rsid w:val="00A332F4"/>
    <w:rsid w:val="00A33755"/>
    <w:rsid w:val="00A34914"/>
    <w:rsid w:val="00A34A0D"/>
    <w:rsid w:val="00A34E11"/>
    <w:rsid w:val="00A35B8A"/>
    <w:rsid w:val="00A3627C"/>
    <w:rsid w:val="00A36708"/>
    <w:rsid w:val="00A3674E"/>
    <w:rsid w:val="00A36A2E"/>
    <w:rsid w:val="00A4026B"/>
    <w:rsid w:val="00A4075D"/>
    <w:rsid w:val="00A42818"/>
    <w:rsid w:val="00A44019"/>
    <w:rsid w:val="00A44370"/>
    <w:rsid w:val="00A4455C"/>
    <w:rsid w:val="00A45F84"/>
    <w:rsid w:val="00A46813"/>
    <w:rsid w:val="00A46C51"/>
    <w:rsid w:val="00A47A8D"/>
    <w:rsid w:val="00A507D8"/>
    <w:rsid w:val="00A50E91"/>
    <w:rsid w:val="00A52097"/>
    <w:rsid w:val="00A53C9F"/>
    <w:rsid w:val="00A54F3E"/>
    <w:rsid w:val="00A5521D"/>
    <w:rsid w:val="00A55F6E"/>
    <w:rsid w:val="00A57C61"/>
    <w:rsid w:val="00A6035D"/>
    <w:rsid w:val="00A610FC"/>
    <w:rsid w:val="00A61DE3"/>
    <w:rsid w:val="00A623B6"/>
    <w:rsid w:val="00A623CD"/>
    <w:rsid w:val="00A62627"/>
    <w:rsid w:val="00A6287F"/>
    <w:rsid w:val="00A6366E"/>
    <w:rsid w:val="00A63AA0"/>
    <w:rsid w:val="00A64912"/>
    <w:rsid w:val="00A64DA9"/>
    <w:rsid w:val="00A65323"/>
    <w:rsid w:val="00A65ABC"/>
    <w:rsid w:val="00A6620B"/>
    <w:rsid w:val="00A6639F"/>
    <w:rsid w:val="00A70103"/>
    <w:rsid w:val="00A70A74"/>
    <w:rsid w:val="00A714D9"/>
    <w:rsid w:val="00A71511"/>
    <w:rsid w:val="00A71E2A"/>
    <w:rsid w:val="00A740AB"/>
    <w:rsid w:val="00A74B9B"/>
    <w:rsid w:val="00A757B6"/>
    <w:rsid w:val="00A75B75"/>
    <w:rsid w:val="00A75ED3"/>
    <w:rsid w:val="00A77CC4"/>
    <w:rsid w:val="00A80C96"/>
    <w:rsid w:val="00A81BA9"/>
    <w:rsid w:val="00A82E91"/>
    <w:rsid w:val="00A8356F"/>
    <w:rsid w:val="00A84C16"/>
    <w:rsid w:val="00A871EE"/>
    <w:rsid w:val="00A879B2"/>
    <w:rsid w:val="00A92D24"/>
    <w:rsid w:val="00A9385E"/>
    <w:rsid w:val="00A94DDE"/>
    <w:rsid w:val="00A950E9"/>
    <w:rsid w:val="00A9607B"/>
    <w:rsid w:val="00A96B48"/>
    <w:rsid w:val="00AA08EC"/>
    <w:rsid w:val="00AA0D18"/>
    <w:rsid w:val="00AA1221"/>
    <w:rsid w:val="00AA127E"/>
    <w:rsid w:val="00AA2187"/>
    <w:rsid w:val="00AA2786"/>
    <w:rsid w:val="00AA319E"/>
    <w:rsid w:val="00AA3F24"/>
    <w:rsid w:val="00AA5BE2"/>
    <w:rsid w:val="00AA61EF"/>
    <w:rsid w:val="00AA7BBF"/>
    <w:rsid w:val="00AB05C4"/>
    <w:rsid w:val="00AB0F07"/>
    <w:rsid w:val="00AB13F2"/>
    <w:rsid w:val="00AB191C"/>
    <w:rsid w:val="00AB2769"/>
    <w:rsid w:val="00AB3EF7"/>
    <w:rsid w:val="00AB5644"/>
    <w:rsid w:val="00AB56EA"/>
    <w:rsid w:val="00AB60A8"/>
    <w:rsid w:val="00AB68F1"/>
    <w:rsid w:val="00AB693F"/>
    <w:rsid w:val="00AB7AEA"/>
    <w:rsid w:val="00AC07BB"/>
    <w:rsid w:val="00AC12F6"/>
    <w:rsid w:val="00AC39AB"/>
    <w:rsid w:val="00AC4A7B"/>
    <w:rsid w:val="00AC4C05"/>
    <w:rsid w:val="00AC52A5"/>
    <w:rsid w:val="00AC5D4F"/>
    <w:rsid w:val="00AC6006"/>
    <w:rsid w:val="00AC75F8"/>
    <w:rsid w:val="00AC79DD"/>
    <w:rsid w:val="00AD02E3"/>
    <w:rsid w:val="00AD0A1A"/>
    <w:rsid w:val="00AD0A71"/>
    <w:rsid w:val="00AD13D5"/>
    <w:rsid w:val="00AD1E40"/>
    <w:rsid w:val="00AD212C"/>
    <w:rsid w:val="00AD29E5"/>
    <w:rsid w:val="00AD4706"/>
    <w:rsid w:val="00AD47A6"/>
    <w:rsid w:val="00AD5641"/>
    <w:rsid w:val="00AD5ACE"/>
    <w:rsid w:val="00AD6561"/>
    <w:rsid w:val="00AD6C1C"/>
    <w:rsid w:val="00AD7889"/>
    <w:rsid w:val="00AD78F2"/>
    <w:rsid w:val="00AE005E"/>
    <w:rsid w:val="00AE0359"/>
    <w:rsid w:val="00AE0AD2"/>
    <w:rsid w:val="00AE2108"/>
    <w:rsid w:val="00AE2A7F"/>
    <w:rsid w:val="00AE3652"/>
    <w:rsid w:val="00AE3A05"/>
    <w:rsid w:val="00AE3B79"/>
    <w:rsid w:val="00AE404F"/>
    <w:rsid w:val="00AE406E"/>
    <w:rsid w:val="00AE580C"/>
    <w:rsid w:val="00AE5EC2"/>
    <w:rsid w:val="00AE6BE6"/>
    <w:rsid w:val="00AE6F71"/>
    <w:rsid w:val="00AF021B"/>
    <w:rsid w:val="00AF06CF"/>
    <w:rsid w:val="00AF07E4"/>
    <w:rsid w:val="00AF0CE9"/>
    <w:rsid w:val="00AF10C7"/>
    <w:rsid w:val="00AF18E0"/>
    <w:rsid w:val="00AF2D0C"/>
    <w:rsid w:val="00AF3163"/>
    <w:rsid w:val="00AF33C4"/>
    <w:rsid w:val="00AF4BCF"/>
    <w:rsid w:val="00AF4D80"/>
    <w:rsid w:val="00AF57CB"/>
    <w:rsid w:val="00AF5DD0"/>
    <w:rsid w:val="00AF684E"/>
    <w:rsid w:val="00AF6FAB"/>
    <w:rsid w:val="00AF7A2A"/>
    <w:rsid w:val="00B0039C"/>
    <w:rsid w:val="00B00A4B"/>
    <w:rsid w:val="00B0121F"/>
    <w:rsid w:val="00B01509"/>
    <w:rsid w:val="00B01DD0"/>
    <w:rsid w:val="00B01EF1"/>
    <w:rsid w:val="00B03C8D"/>
    <w:rsid w:val="00B03DFA"/>
    <w:rsid w:val="00B05CF4"/>
    <w:rsid w:val="00B06B6F"/>
    <w:rsid w:val="00B07CDB"/>
    <w:rsid w:val="00B10094"/>
    <w:rsid w:val="00B10C9C"/>
    <w:rsid w:val="00B112C5"/>
    <w:rsid w:val="00B11711"/>
    <w:rsid w:val="00B11D48"/>
    <w:rsid w:val="00B11DA4"/>
    <w:rsid w:val="00B11FBC"/>
    <w:rsid w:val="00B12315"/>
    <w:rsid w:val="00B137EB"/>
    <w:rsid w:val="00B14ACD"/>
    <w:rsid w:val="00B166A6"/>
    <w:rsid w:val="00B16893"/>
    <w:rsid w:val="00B16A31"/>
    <w:rsid w:val="00B179CB"/>
    <w:rsid w:val="00B17DFD"/>
    <w:rsid w:val="00B2019D"/>
    <w:rsid w:val="00B20449"/>
    <w:rsid w:val="00B20C24"/>
    <w:rsid w:val="00B20D29"/>
    <w:rsid w:val="00B21523"/>
    <w:rsid w:val="00B217C8"/>
    <w:rsid w:val="00B223F0"/>
    <w:rsid w:val="00B227A6"/>
    <w:rsid w:val="00B22FB8"/>
    <w:rsid w:val="00B231A7"/>
    <w:rsid w:val="00B231DC"/>
    <w:rsid w:val="00B23E3D"/>
    <w:rsid w:val="00B24200"/>
    <w:rsid w:val="00B26E76"/>
    <w:rsid w:val="00B2730F"/>
    <w:rsid w:val="00B308FE"/>
    <w:rsid w:val="00B31AB8"/>
    <w:rsid w:val="00B31F68"/>
    <w:rsid w:val="00B3216E"/>
    <w:rsid w:val="00B32528"/>
    <w:rsid w:val="00B32BF8"/>
    <w:rsid w:val="00B32C14"/>
    <w:rsid w:val="00B33517"/>
    <w:rsid w:val="00B33709"/>
    <w:rsid w:val="00B33B3C"/>
    <w:rsid w:val="00B33ED0"/>
    <w:rsid w:val="00B34875"/>
    <w:rsid w:val="00B353BB"/>
    <w:rsid w:val="00B36048"/>
    <w:rsid w:val="00B3609D"/>
    <w:rsid w:val="00B37671"/>
    <w:rsid w:val="00B402E7"/>
    <w:rsid w:val="00B4115F"/>
    <w:rsid w:val="00B417DE"/>
    <w:rsid w:val="00B42B42"/>
    <w:rsid w:val="00B42CBD"/>
    <w:rsid w:val="00B42D4B"/>
    <w:rsid w:val="00B42FBE"/>
    <w:rsid w:val="00B44176"/>
    <w:rsid w:val="00B45A9E"/>
    <w:rsid w:val="00B47835"/>
    <w:rsid w:val="00B50A09"/>
    <w:rsid w:val="00B50ADC"/>
    <w:rsid w:val="00B52170"/>
    <w:rsid w:val="00B52C14"/>
    <w:rsid w:val="00B566B1"/>
    <w:rsid w:val="00B56F46"/>
    <w:rsid w:val="00B57A39"/>
    <w:rsid w:val="00B57A7F"/>
    <w:rsid w:val="00B57E35"/>
    <w:rsid w:val="00B57FB9"/>
    <w:rsid w:val="00B6032A"/>
    <w:rsid w:val="00B62058"/>
    <w:rsid w:val="00B6227B"/>
    <w:rsid w:val="00B62591"/>
    <w:rsid w:val="00B62705"/>
    <w:rsid w:val="00B62EAC"/>
    <w:rsid w:val="00B63142"/>
    <w:rsid w:val="00B63834"/>
    <w:rsid w:val="00B64841"/>
    <w:rsid w:val="00B64937"/>
    <w:rsid w:val="00B64B23"/>
    <w:rsid w:val="00B64FA0"/>
    <w:rsid w:val="00B65247"/>
    <w:rsid w:val="00B6557D"/>
    <w:rsid w:val="00B65F8A"/>
    <w:rsid w:val="00B70DFD"/>
    <w:rsid w:val="00B72363"/>
    <w:rsid w:val="00B72734"/>
    <w:rsid w:val="00B73247"/>
    <w:rsid w:val="00B736A2"/>
    <w:rsid w:val="00B74AA8"/>
    <w:rsid w:val="00B74CB8"/>
    <w:rsid w:val="00B74D7B"/>
    <w:rsid w:val="00B7699C"/>
    <w:rsid w:val="00B76C99"/>
    <w:rsid w:val="00B76D70"/>
    <w:rsid w:val="00B77426"/>
    <w:rsid w:val="00B77985"/>
    <w:rsid w:val="00B779BF"/>
    <w:rsid w:val="00B80199"/>
    <w:rsid w:val="00B82A42"/>
    <w:rsid w:val="00B83204"/>
    <w:rsid w:val="00B83837"/>
    <w:rsid w:val="00B83A9C"/>
    <w:rsid w:val="00B84FE6"/>
    <w:rsid w:val="00B86F80"/>
    <w:rsid w:val="00B87314"/>
    <w:rsid w:val="00B90087"/>
    <w:rsid w:val="00B90FF5"/>
    <w:rsid w:val="00B9364A"/>
    <w:rsid w:val="00B94706"/>
    <w:rsid w:val="00B95A6F"/>
    <w:rsid w:val="00B95BEC"/>
    <w:rsid w:val="00B962A8"/>
    <w:rsid w:val="00B973E2"/>
    <w:rsid w:val="00B97694"/>
    <w:rsid w:val="00B97715"/>
    <w:rsid w:val="00BA0C87"/>
    <w:rsid w:val="00BA0D71"/>
    <w:rsid w:val="00BA18CE"/>
    <w:rsid w:val="00BA220B"/>
    <w:rsid w:val="00BA2CC4"/>
    <w:rsid w:val="00BA2D5B"/>
    <w:rsid w:val="00BA2DD9"/>
    <w:rsid w:val="00BA358C"/>
    <w:rsid w:val="00BA3A57"/>
    <w:rsid w:val="00BA5782"/>
    <w:rsid w:val="00BA5D06"/>
    <w:rsid w:val="00BA659C"/>
    <w:rsid w:val="00BA691F"/>
    <w:rsid w:val="00BA6FF6"/>
    <w:rsid w:val="00BB0084"/>
    <w:rsid w:val="00BB07D1"/>
    <w:rsid w:val="00BB0A80"/>
    <w:rsid w:val="00BB15CA"/>
    <w:rsid w:val="00BB168F"/>
    <w:rsid w:val="00BB1BD3"/>
    <w:rsid w:val="00BB220C"/>
    <w:rsid w:val="00BB271A"/>
    <w:rsid w:val="00BB3CDB"/>
    <w:rsid w:val="00BB4706"/>
    <w:rsid w:val="00BB4DFB"/>
    <w:rsid w:val="00BB4E1A"/>
    <w:rsid w:val="00BB5B93"/>
    <w:rsid w:val="00BB5E17"/>
    <w:rsid w:val="00BB6400"/>
    <w:rsid w:val="00BB6D37"/>
    <w:rsid w:val="00BC015E"/>
    <w:rsid w:val="00BC0D9B"/>
    <w:rsid w:val="00BC0E55"/>
    <w:rsid w:val="00BC3F30"/>
    <w:rsid w:val="00BC4A61"/>
    <w:rsid w:val="00BC4C31"/>
    <w:rsid w:val="00BC631C"/>
    <w:rsid w:val="00BC6999"/>
    <w:rsid w:val="00BC6C7F"/>
    <w:rsid w:val="00BC76AC"/>
    <w:rsid w:val="00BD07C0"/>
    <w:rsid w:val="00BD080C"/>
    <w:rsid w:val="00BD0ABC"/>
    <w:rsid w:val="00BD0ECB"/>
    <w:rsid w:val="00BD1150"/>
    <w:rsid w:val="00BD26D8"/>
    <w:rsid w:val="00BD3945"/>
    <w:rsid w:val="00BD3F6C"/>
    <w:rsid w:val="00BD3FF1"/>
    <w:rsid w:val="00BD45B5"/>
    <w:rsid w:val="00BD55B3"/>
    <w:rsid w:val="00BE06FA"/>
    <w:rsid w:val="00BE0F18"/>
    <w:rsid w:val="00BE2124"/>
    <w:rsid w:val="00BE2155"/>
    <w:rsid w:val="00BE2213"/>
    <w:rsid w:val="00BE330A"/>
    <w:rsid w:val="00BE4814"/>
    <w:rsid w:val="00BE4A7A"/>
    <w:rsid w:val="00BE4B2E"/>
    <w:rsid w:val="00BE5339"/>
    <w:rsid w:val="00BE5892"/>
    <w:rsid w:val="00BE5BC2"/>
    <w:rsid w:val="00BE5F1C"/>
    <w:rsid w:val="00BE6773"/>
    <w:rsid w:val="00BE6A72"/>
    <w:rsid w:val="00BE6AC7"/>
    <w:rsid w:val="00BE6E95"/>
    <w:rsid w:val="00BE719A"/>
    <w:rsid w:val="00BE720A"/>
    <w:rsid w:val="00BE7795"/>
    <w:rsid w:val="00BE781D"/>
    <w:rsid w:val="00BE7D58"/>
    <w:rsid w:val="00BF0C64"/>
    <w:rsid w:val="00BF0D73"/>
    <w:rsid w:val="00BF13FD"/>
    <w:rsid w:val="00BF2465"/>
    <w:rsid w:val="00BF271F"/>
    <w:rsid w:val="00BF27E7"/>
    <w:rsid w:val="00BF2917"/>
    <w:rsid w:val="00BF2C69"/>
    <w:rsid w:val="00BF49D3"/>
    <w:rsid w:val="00BF4DE9"/>
    <w:rsid w:val="00BF5AE0"/>
    <w:rsid w:val="00BF5B50"/>
    <w:rsid w:val="00BF5E70"/>
    <w:rsid w:val="00BF6FC5"/>
    <w:rsid w:val="00BF71F1"/>
    <w:rsid w:val="00BF7333"/>
    <w:rsid w:val="00BF750B"/>
    <w:rsid w:val="00C006F2"/>
    <w:rsid w:val="00C01E06"/>
    <w:rsid w:val="00C02626"/>
    <w:rsid w:val="00C02FFC"/>
    <w:rsid w:val="00C041F9"/>
    <w:rsid w:val="00C045EA"/>
    <w:rsid w:val="00C055F0"/>
    <w:rsid w:val="00C05E75"/>
    <w:rsid w:val="00C06F0F"/>
    <w:rsid w:val="00C114B1"/>
    <w:rsid w:val="00C1180D"/>
    <w:rsid w:val="00C12B0F"/>
    <w:rsid w:val="00C12E6E"/>
    <w:rsid w:val="00C12EAC"/>
    <w:rsid w:val="00C1369B"/>
    <w:rsid w:val="00C13880"/>
    <w:rsid w:val="00C14EBD"/>
    <w:rsid w:val="00C15000"/>
    <w:rsid w:val="00C15A51"/>
    <w:rsid w:val="00C15EB9"/>
    <w:rsid w:val="00C16BD4"/>
    <w:rsid w:val="00C16F04"/>
    <w:rsid w:val="00C172D4"/>
    <w:rsid w:val="00C1741A"/>
    <w:rsid w:val="00C17797"/>
    <w:rsid w:val="00C20239"/>
    <w:rsid w:val="00C20335"/>
    <w:rsid w:val="00C20733"/>
    <w:rsid w:val="00C22577"/>
    <w:rsid w:val="00C2292B"/>
    <w:rsid w:val="00C22A92"/>
    <w:rsid w:val="00C234E3"/>
    <w:rsid w:val="00C238B3"/>
    <w:rsid w:val="00C23D8C"/>
    <w:rsid w:val="00C249AB"/>
    <w:rsid w:val="00C256E4"/>
    <w:rsid w:val="00C25A73"/>
    <w:rsid w:val="00C25E7F"/>
    <w:rsid w:val="00C26F36"/>
    <w:rsid w:val="00C2746F"/>
    <w:rsid w:val="00C324A0"/>
    <w:rsid w:val="00C3300F"/>
    <w:rsid w:val="00C334B1"/>
    <w:rsid w:val="00C3353A"/>
    <w:rsid w:val="00C3388E"/>
    <w:rsid w:val="00C33916"/>
    <w:rsid w:val="00C33C34"/>
    <w:rsid w:val="00C33D80"/>
    <w:rsid w:val="00C34E32"/>
    <w:rsid w:val="00C35345"/>
    <w:rsid w:val="00C35AC3"/>
    <w:rsid w:val="00C3774E"/>
    <w:rsid w:val="00C37D19"/>
    <w:rsid w:val="00C405A3"/>
    <w:rsid w:val="00C40859"/>
    <w:rsid w:val="00C41C75"/>
    <w:rsid w:val="00C41D40"/>
    <w:rsid w:val="00C42195"/>
    <w:rsid w:val="00C421C0"/>
    <w:rsid w:val="00C42BF8"/>
    <w:rsid w:val="00C438B7"/>
    <w:rsid w:val="00C444BB"/>
    <w:rsid w:val="00C44ED9"/>
    <w:rsid w:val="00C4592E"/>
    <w:rsid w:val="00C464DF"/>
    <w:rsid w:val="00C50043"/>
    <w:rsid w:val="00C53BAD"/>
    <w:rsid w:val="00C548A2"/>
    <w:rsid w:val="00C5576B"/>
    <w:rsid w:val="00C55D70"/>
    <w:rsid w:val="00C55D8F"/>
    <w:rsid w:val="00C56C43"/>
    <w:rsid w:val="00C57678"/>
    <w:rsid w:val="00C576AD"/>
    <w:rsid w:val="00C601E4"/>
    <w:rsid w:val="00C605A2"/>
    <w:rsid w:val="00C60789"/>
    <w:rsid w:val="00C62493"/>
    <w:rsid w:val="00C6293D"/>
    <w:rsid w:val="00C62BAA"/>
    <w:rsid w:val="00C63165"/>
    <w:rsid w:val="00C64327"/>
    <w:rsid w:val="00C667F5"/>
    <w:rsid w:val="00C67566"/>
    <w:rsid w:val="00C67651"/>
    <w:rsid w:val="00C71C7B"/>
    <w:rsid w:val="00C71E60"/>
    <w:rsid w:val="00C723F3"/>
    <w:rsid w:val="00C7261F"/>
    <w:rsid w:val="00C733BF"/>
    <w:rsid w:val="00C74E92"/>
    <w:rsid w:val="00C7573B"/>
    <w:rsid w:val="00C75979"/>
    <w:rsid w:val="00C764D1"/>
    <w:rsid w:val="00C769F0"/>
    <w:rsid w:val="00C76F51"/>
    <w:rsid w:val="00C80016"/>
    <w:rsid w:val="00C812C7"/>
    <w:rsid w:val="00C81843"/>
    <w:rsid w:val="00C83BC2"/>
    <w:rsid w:val="00C85D10"/>
    <w:rsid w:val="00C86CE6"/>
    <w:rsid w:val="00C86ECC"/>
    <w:rsid w:val="00C873C3"/>
    <w:rsid w:val="00C87D0A"/>
    <w:rsid w:val="00C90F4A"/>
    <w:rsid w:val="00C91257"/>
    <w:rsid w:val="00C91BF9"/>
    <w:rsid w:val="00C929DC"/>
    <w:rsid w:val="00C92CDE"/>
    <w:rsid w:val="00C92ED8"/>
    <w:rsid w:val="00C93393"/>
    <w:rsid w:val="00C93C03"/>
    <w:rsid w:val="00C93C6F"/>
    <w:rsid w:val="00C94F23"/>
    <w:rsid w:val="00C9612E"/>
    <w:rsid w:val="00C965AF"/>
    <w:rsid w:val="00C977E8"/>
    <w:rsid w:val="00CA07EC"/>
    <w:rsid w:val="00CA0A3F"/>
    <w:rsid w:val="00CA2283"/>
    <w:rsid w:val="00CA228A"/>
    <w:rsid w:val="00CA2E6A"/>
    <w:rsid w:val="00CA3431"/>
    <w:rsid w:val="00CA4CC4"/>
    <w:rsid w:val="00CA4DF7"/>
    <w:rsid w:val="00CA538E"/>
    <w:rsid w:val="00CA5539"/>
    <w:rsid w:val="00CA692B"/>
    <w:rsid w:val="00CB0C30"/>
    <w:rsid w:val="00CB2914"/>
    <w:rsid w:val="00CB2C8E"/>
    <w:rsid w:val="00CB32A8"/>
    <w:rsid w:val="00CB3A4A"/>
    <w:rsid w:val="00CB3DBC"/>
    <w:rsid w:val="00CB4461"/>
    <w:rsid w:val="00CB56CE"/>
    <w:rsid w:val="00CB5EE7"/>
    <w:rsid w:val="00CB602E"/>
    <w:rsid w:val="00CB6A92"/>
    <w:rsid w:val="00CB6F27"/>
    <w:rsid w:val="00CB7BEA"/>
    <w:rsid w:val="00CC14AD"/>
    <w:rsid w:val="00CC1771"/>
    <w:rsid w:val="00CC54FC"/>
    <w:rsid w:val="00CC7404"/>
    <w:rsid w:val="00CD1813"/>
    <w:rsid w:val="00CD2171"/>
    <w:rsid w:val="00CD24DA"/>
    <w:rsid w:val="00CD2AF5"/>
    <w:rsid w:val="00CD355A"/>
    <w:rsid w:val="00CD45FC"/>
    <w:rsid w:val="00CD4981"/>
    <w:rsid w:val="00CD6A08"/>
    <w:rsid w:val="00CD6AB9"/>
    <w:rsid w:val="00CD70A4"/>
    <w:rsid w:val="00CD7E3C"/>
    <w:rsid w:val="00CE051D"/>
    <w:rsid w:val="00CE06C9"/>
    <w:rsid w:val="00CE12EF"/>
    <w:rsid w:val="00CE1335"/>
    <w:rsid w:val="00CE1622"/>
    <w:rsid w:val="00CE2640"/>
    <w:rsid w:val="00CE28DD"/>
    <w:rsid w:val="00CE29EE"/>
    <w:rsid w:val="00CE493D"/>
    <w:rsid w:val="00CE49E6"/>
    <w:rsid w:val="00CE603F"/>
    <w:rsid w:val="00CE6E70"/>
    <w:rsid w:val="00CE751D"/>
    <w:rsid w:val="00CE7BDD"/>
    <w:rsid w:val="00CF0355"/>
    <w:rsid w:val="00CF0684"/>
    <w:rsid w:val="00CF07FA"/>
    <w:rsid w:val="00CF0BB2"/>
    <w:rsid w:val="00CF107D"/>
    <w:rsid w:val="00CF1797"/>
    <w:rsid w:val="00CF2925"/>
    <w:rsid w:val="00CF3EE8"/>
    <w:rsid w:val="00CF4688"/>
    <w:rsid w:val="00CF5108"/>
    <w:rsid w:val="00CF59E2"/>
    <w:rsid w:val="00CF5E40"/>
    <w:rsid w:val="00CF6F29"/>
    <w:rsid w:val="00CF763D"/>
    <w:rsid w:val="00CF789B"/>
    <w:rsid w:val="00D009CA"/>
    <w:rsid w:val="00D01B2A"/>
    <w:rsid w:val="00D03110"/>
    <w:rsid w:val="00D03714"/>
    <w:rsid w:val="00D04D2E"/>
    <w:rsid w:val="00D050E6"/>
    <w:rsid w:val="00D06C2E"/>
    <w:rsid w:val="00D06C5C"/>
    <w:rsid w:val="00D06F73"/>
    <w:rsid w:val="00D070F2"/>
    <w:rsid w:val="00D07296"/>
    <w:rsid w:val="00D1062F"/>
    <w:rsid w:val="00D111AD"/>
    <w:rsid w:val="00D1146B"/>
    <w:rsid w:val="00D124A3"/>
    <w:rsid w:val="00D124FB"/>
    <w:rsid w:val="00D13441"/>
    <w:rsid w:val="00D13CFD"/>
    <w:rsid w:val="00D1477D"/>
    <w:rsid w:val="00D14E8A"/>
    <w:rsid w:val="00D150E7"/>
    <w:rsid w:val="00D15899"/>
    <w:rsid w:val="00D15A18"/>
    <w:rsid w:val="00D16A30"/>
    <w:rsid w:val="00D1723F"/>
    <w:rsid w:val="00D17C6D"/>
    <w:rsid w:val="00D17D50"/>
    <w:rsid w:val="00D17E94"/>
    <w:rsid w:val="00D20C08"/>
    <w:rsid w:val="00D21A15"/>
    <w:rsid w:val="00D21ADF"/>
    <w:rsid w:val="00D225BC"/>
    <w:rsid w:val="00D22B47"/>
    <w:rsid w:val="00D22B56"/>
    <w:rsid w:val="00D23B18"/>
    <w:rsid w:val="00D25631"/>
    <w:rsid w:val="00D2635F"/>
    <w:rsid w:val="00D303AC"/>
    <w:rsid w:val="00D31740"/>
    <w:rsid w:val="00D31B8D"/>
    <w:rsid w:val="00D32F65"/>
    <w:rsid w:val="00D3352F"/>
    <w:rsid w:val="00D33665"/>
    <w:rsid w:val="00D33CC8"/>
    <w:rsid w:val="00D357B1"/>
    <w:rsid w:val="00D35AB5"/>
    <w:rsid w:val="00D3723E"/>
    <w:rsid w:val="00D374D4"/>
    <w:rsid w:val="00D37A56"/>
    <w:rsid w:val="00D40160"/>
    <w:rsid w:val="00D41F77"/>
    <w:rsid w:val="00D42413"/>
    <w:rsid w:val="00D44B51"/>
    <w:rsid w:val="00D45C61"/>
    <w:rsid w:val="00D45C69"/>
    <w:rsid w:val="00D46E40"/>
    <w:rsid w:val="00D46E5C"/>
    <w:rsid w:val="00D47870"/>
    <w:rsid w:val="00D479A1"/>
    <w:rsid w:val="00D47C5C"/>
    <w:rsid w:val="00D50E6C"/>
    <w:rsid w:val="00D525A4"/>
    <w:rsid w:val="00D525B3"/>
    <w:rsid w:val="00D52DC2"/>
    <w:rsid w:val="00D53BCC"/>
    <w:rsid w:val="00D53C9B"/>
    <w:rsid w:val="00D56A27"/>
    <w:rsid w:val="00D57540"/>
    <w:rsid w:val="00D57EA6"/>
    <w:rsid w:val="00D60629"/>
    <w:rsid w:val="00D60F73"/>
    <w:rsid w:val="00D60FA4"/>
    <w:rsid w:val="00D6160D"/>
    <w:rsid w:val="00D61712"/>
    <w:rsid w:val="00D623E5"/>
    <w:rsid w:val="00D62BAA"/>
    <w:rsid w:val="00D63085"/>
    <w:rsid w:val="00D64A26"/>
    <w:rsid w:val="00D650DF"/>
    <w:rsid w:val="00D65651"/>
    <w:rsid w:val="00D65A2E"/>
    <w:rsid w:val="00D6603E"/>
    <w:rsid w:val="00D66814"/>
    <w:rsid w:val="00D66CCA"/>
    <w:rsid w:val="00D67730"/>
    <w:rsid w:val="00D6793F"/>
    <w:rsid w:val="00D67E8A"/>
    <w:rsid w:val="00D70AB1"/>
    <w:rsid w:val="00D70DFB"/>
    <w:rsid w:val="00D72839"/>
    <w:rsid w:val="00D7320F"/>
    <w:rsid w:val="00D75D19"/>
    <w:rsid w:val="00D766DF"/>
    <w:rsid w:val="00D80693"/>
    <w:rsid w:val="00D81D75"/>
    <w:rsid w:val="00D81DA1"/>
    <w:rsid w:val="00D8201A"/>
    <w:rsid w:val="00D82059"/>
    <w:rsid w:val="00D82200"/>
    <w:rsid w:val="00D83603"/>
    <w:rsid w:val="00D83B97"/>
    <w:rsid w:val="00D84A6C"/>
    <w:rsid w:val="00D8595B"/>
    <w:rsid w:val="00D86399"/>
    <w:rsid w:val="00D86675"/>
    <w:rsid w:val="00D86E27"/>
    <w:rsid w:val="00D8730C"/>
    <w:rsid w:val="00D876F7"/>
    <w:rsid w:val="00D878CF"/>
    <w:rsid w:val="00D879F0"/>
    <w:rsid w:val="00D87EFF"/>
    <w:rsid w:val="00D905A0"/>
    <w:rsid w:val="00D9078F"/>
    <w:rsid w:val="00D920DF"/>
    <w:rsid w:val="00D92E91"/>
    <w:rsid w:val="00D93F67"/>
    <w:rsid w:val="00D955D6"/>
    <w:rsid w:val="00D958E4"/>
    <w:rsid w:val="00D95B38"/>
    <w:rsid w:val="00D960BE"/>
    <w:rsid w:val="00D960CD"/>
    <w:rsid w:val="00D9681C"/>
    <w:rsid w:val="00D96EAA"/>
    <w:rsid w:val="00D97047"/>
    <w:rsid w:val="00D977C4"/>
    <w:rsid w:val="00D97AE4"/>
    <w:rsid w:val="00DA0062"/>
    <w:rsid w:val="00DA0130"/>
    <w:rsid w:val="00DA08A6"/>
    <w:rsid w:val="00DA0B76"/>
    <w:rsid w:val="00DA1335"/>
    <w:rsid w:val="00DA1353"/>
    <w:rsid w:val="00DA16BE"/>
    <w:rsid w:val="00DA186E"/>
    <w:rsid w:val="00DA31F1"/>
    <w:rsid w:val="00DA35E9"/>
    <w:rsid w:val="00DA3FDC"/>
    <w:rsid w:val="00DA4116"/>
    <w:rsid w:val="00DA491D"/>
    <w:rsid w:val="00DA7C79"/>
    <w:rsid w:val="00DA7CFE"/>
    <w:rsid w:val="00DA7ED7"/>
    <w:rsid w:val="00DB179D"/>
    <w:rsid w:val="00DB251C"/>
    <w:rsid w:val="00DB2CB7"/>
    <w:rsid w:val="00DB33C9"/>
    <w:rsid w:val="00DB3958"/>
    <w:rsid w:val="00DB3B0B"/>
    <w:rsid w:val="00DB45AF"/>
    <w:rsid w:val="00DB4630"/>
    <w:rsid w:val="00DB5654"/>
    <w:rsid w:val="00DB5F14"/>
    <w:rsid w:val="00DB68ED"/>
    <w:rsid w:val="00DB6DAC"/>
    <w:rsid w:val="00DC04F8"/>
    <w:rsid w:val="00DC0754"/>
    <w:rsid w:val="00DC0CF0"/>
    <w:rsid w:val="00DC0FE8"/>
    <w:rsid w:val="00DC1060"/>
    <w:rsid w:val="00DC119F"/>
    <w:rsid w:val="00DC18B9"/>
    <w:rsid w:val="00DC2B2A"/>
    <w:rsid w:val="00DC2C72"/>
    <w:rsid w:val="00DC2E8F"/>
    <w:rsid w:val="00DC35F3"/>
    <w:rsid w:val="00DC4D9B"/>
    <w:rsid w:val="00DC4F88"/>
    <w:rsid w:val="00DC5C37"/>
    <w:rsid w:val="00DC5D11"/>
    <w:rsid w:val="00DC62C3"/>
    <w:rsid w:val="00DC6588"/>
    <w:rsid w:val="00DC703D"/>
    <w:rsid w:val="00DC7435"/>
    <w:rsid w:val="00DC7AEB"/>
    <w:rsid w:val="00DD0C7B"/>
    <w:rsid w:val="00DD1117"/>
    <w:rsid w:val="00DD15E4"/>
    <w:rsid w:val="00DD1913"/>
    <w:rsid w:val="00DD25E2"/>
    <w:rsid w:val="00DD2B51"/>
    <w:rsid w:val="00DD3966"/>
    <w:rsid w:val="00DD3F83"/>
    <w:rsid w:val="00DD3FA5"/>
    <w:rsid w:val="00DD5687"/>
    <w:rsid w:val="00DD5C03"/>
    <w:rsid w:val="00DD721B"/>
    <w:rsid w:val="00DD779D"/>
    <w:rsid w:val="00DE02EA"/>
    <w:rsid w:val="00DE1CD1"/>
    <w:rsid w:val="00DE1EEF"/>
    <w:rsid w:val="00DE244D"/>
    <w:rsid w:val="00DE2B3D"/>
    <w:rsid w:val="00DE2F1A"/>
    <w:rsid w:val="00DE30CE"/>
    <w:rsid w:val="00DE3549"/>
    <w:rsid w:val="00DE38F4"/>
    <w:rsid w:val="00DE3A08"/>
    <w:rsid w:val="00DE3A15"/>
    <w:rsid w:val="00DE4A88"/>
    <w:rsid w:val="00DE4C07"/>
    <w:rsid w:val="00DE5A09"/>
    <w:rsid w:val="00DE72A4"/>
    <w:rsid w:val="00DE7DCB"/>
    <w:rsid w:val="00DE7F49"/>
    <w:rsid w:val="00DF0198"/>
    <w:rsid w:val="00DF11A5"/>
    <w:rsid w:val="00DF1DC1"/>
    <w:rsid w:val="00DF2092"/>
    <w:rsid w:val="00DF4682"/>
    <w:rsid w:val="00DF656A"/>
    <w:rsid w:val="00DF6E3A"/>
    <w:rsid w:val="00DF7054"/>
    <w:rsid w:val="00DF77F1"/>
    <w:rsid w:val="00E0008B"/>
    <w:rsid w:val="00E00101"/>
    <w:rsid w:val="00E006EB"/>
    <w:rsid w:val="00E027FC"/>
    <w:rsid w:val="00E02E43"/>
    <w:rsid w:val="00E031B1"/>
    <w:rsid w:val="00E03510"/>
    <w:rsid w:val="00E03616"/>
    <w:rsid w:val="00E05704"/>
    <w:rsid w:val="00E05B5E"/>
    <w:rsid w:val="00E05C63"/>
    <w:rsid w:val="00E06027"/>
    <w:rsid w:val="00E07BD2"/>
    <w:rsid w:val="00E07D77"/>
    <w:rsid w:val="00E1078F"/>
    <w:rsid w:val="00E10D33"/>
    <w:rsid w:val="00E11E44"/>
    <w:rsid w:val="00E12065"/>
    <w:rsid w:val="00E1214A"/>
    <w:rsid w:val="00E12BD7"/>
    <w:rsid w:val="00E15C45"/>
    <w:rsid w:val="00E16C13"/>
    <w:rsid w:val="00E16EBC"/>
    <w:rsid w:val="00E17AF1"/>
    <w:rsid w:val="00E200DA"/>
    <w:rsid w:val="00E20280"/>
    <w:rsid w:val="00E23DC8"/>
    <w:rsid w:val="00E23E76"/>
    <w:rsid w:val="00E23EEB"/>
    <w:rsid w:val="00E24409"/>
    <w:rsid w:val="00E26D98"/>
    <w:rsid w:val="00E2732F"/>
    <w:rsid w:val="00E320B7"/>
    <w:rsid w:val="00E3270E"/>
    <w:rsid w:val="00E32A47"/>
    <w:rsid w:val="00E32E53"/>
    <w:rsid w:val="00E338EF"/>
    <w:rsid w:val="00E33A72"/>
    <w:rsid w:val="00E343F0"/>
    <w:rsid w:val="00E35514"/>
    <w:rsid w:val="00E35DB5"/>
    <w:rsid w:val="00E36EB6"/>
    <w:rsid w:val="00E36F6A"/>
    <w:rsid w:val="00E3778F"/>
    <w:rsid w:val="00E37F11"/>
    <w:rsid w:val="00E40D9A"/>
    <w:rsid w:val="00E41234"/>
    <w:rsid w:val="00E420E5"/>
    <w:rsid w:val="00E43969"/>
    <w:rsid w:val="00E4506D"/>
    <w:rsid w:val="00E50935"/>
    <w:rsid w:val="00E5103B"/>
    <w:rsid w:val="00E51105"/>
    <w:rsid w:val="00E51728"/>
    <w:rsid w:val="00E517C8"/>
    <w:rsid w:val="00E5198B"/>
    <w:rsid w:val="00E527DF"/>
    <w:rsid w:val="00E52BB4"/>
    <w:rsid w:val="00E53B7C"/>
    <w:rsid w:val="00E53D4B"/>
    <w:rsid w:val="00E53FF7"/>
    <w:rsid w:val="00E5431A"/>
    <w:rsid w:val="00E544BB"/>
    <w:rsid w:val="00E54CE4"/>
    <w:rsid w:val="00E559DE"/>
    <w:rsid w:val="00E56542"/>
    <w:rsid w:val="00E56CCF"/>
    <w:rsid w:val="00E570BB"/>
    <w:rsid w:val="00E57C42"/>
    <w:rsid w:val="00E60602"/>
    <w:rsid w:val="00E60ADC"/>
    <w:rsid w:val="00E61142"/>
    <w:rsid w:val="00E6162F"/>
    <w:rsid w:val="00E61743"/>
    <w:rsid w:val="00E62693"/>
    <w:rsid w:val="00E6307C"/>
    <w:rsid w:val="00E63518"/>
    <w:rsid w:val="00E662CB"/>
    <w:rsid w:val="00E66B46"/>
    <w:rsid w:val="00E66F21"/>
    <w:rsid w:val="00E67192"/>
    <w:rsid w:val="00E672A6"/>
    <w:rsid w:val="00E67652"/>
    <w:rsid w:val="00E67951"/>
    <w:rsid w:val="00E701A2"/>
    <w:rsid w:val="00E7145E"/>
    <w:rsid w:val="00E73064"/>
    <w:rsid w:val="00E7366D"/>
    <w:rsid w:val="00E73FF9"/>
    <w:rsid w:val="00E74174"/>
    <w:rsid w:val="00E74351"/>
    <w:rsid w:val="00E743A8"/>
    <w:rsid w:val="00E74DC7"/>
    <w:rsid w:val="00E750AA"/>
    <w:rsid w:val="00E76462"/>
    <w:rsid w:val="00E76806"/>
    <w:rsid w:val="00E775B0"/>
    <w:rsid w:val="00E8075A"/>
    <w:rsid w:val="00E8090B"/>
    <w:rsid w:val="00E80ED7"/>
    <w:rsid w:val="00E81128"/>
    <w:rsid w:val="00E82EEF"/>
    <w:rsid w:val="00E84C7F"/>
    <w:rsid w:val="00E85292"/>
    <w:rsid w:val="00E85F59"/>
    <w:rsid w:val="00E8613E"/>
    <w:rsid w:val="00E86B03"/>
    <w:rsid w:val="00E87636"/>
    <w:rsid w:val="00E87B5F"/>
    <w:rsid w:val="00E907A2"/>
    <w:rsid w:val="00E9120A"/>
    <w:rsid w:val="00E91797"/>
    <w:rsid w:val="00E9217B"/>
    <w:rsid w:val="00E92881"/>
    <w:rsid w:val="00E92CCC"/>
    <w:rsid w:val="00E93BAE"/>
    <w:rsid w:val="00E93CF8"/>
    <w:rsid w:val="00E93E3D"/>
    <w:rsid w:val="00E93FD9"/>
    <w:rsid w:val="00E94D5E"/>
    <w:rsid w:val="00E94EE0"/>
    <w:rsid w:val="00E96227"/>
    <w:rsid w:val="00E96289"/>
    <w:rsid w:val="00E96B24"/>
    <w:rsid w:val="00EA085E"/>
    <w:rsid w:val="00EA2194"/>
    <w:rsid w:val="00EA440B"/>
    <w:rsid w:val="00EA450C"/>
    <w:rsid w:val="00EA479F"/>
    <w:rsid w:val="00EA6E8D"/>
    <w:rsid w:val="00EA6F60"/>
    <w:rsid w:val="00EA7100"/>
    <w:rsid w:val="00EA7626"/>
    <w:rsid w:val="00EA7F12"/>
    <w:rsid w:val="00EA7F9F"/>
    <w:rsid w:val="00EB1274"/>
    <w:rsid w:val="00EB278D"/>
    <w:rsid w:val="00EB2921"/>
    <w:rsid w:val="00EB436D"/>
    <w:rsid w:val="00EB4814"/>
    <w:rsid w:val="00EB592F"/>
    <w:rsid w:val="00EB68EE"/>
    <w:rsid w:val="00EB6AD0"/>
    <w:rsid w:val="00EC03E3"/>
    <w:rsid w:val="00EC097E"/>
    <w:rsid w:val="00EC20CD"/>
    <w:rsid w:val="00EC213F"/>
    <w:rsid w:val="00EC2603"/>
    <w:rsid w:val="00EC4464"/>
    <w:rsid w:val="00EC52A2"/>
    <w:rsid w:val="00EC5770"/>
    <w:rsid w:val="00EC5DDA"/>
    <w:rsid w:val="00EC5F29"/>
    <w:rsid w:val="00EC6F8E"/>
    <w:rsid w:val="00ED0799"/>
    <w:rsid w:val="00ED16D4"/>
    <w:rsid w:val="00ED1FFF"/>
    <w:rsid w:val="00ED2BB6"/>
    <w:rsid w:val="00ED30AC"/>
    <w:rsid w:val="00ED34E1"/>
    <w:rsid w:val="00ED3B8D"/>
    <w:rsid w:val="00ED4779"/>
    <w:rsid w:val="00ED56FD"/>
    <w:rsid w:val="00ED5BAB"/>
    <w:rsid w:val="00ED6129"/>
    <w:rsid w:val="00ED659C"/>
    <w:rsid w:val="00ED6ACF"/>
    <w:rsid w:val="00ED712B"/>
    <w:rsid w:val="00ED74C0"/>
    <w:rsid w:val="00ED77FF"/>
    <w:rsid w:val="00ED7C87"/>
    <w:rsid w:val="00EE02CA"/>
    <w:rsid w:val="00EE04B1"/>
    <w:rsid w:val="00EE1426"/>
    <w:rsid w:val="00EE268D"/>
    <w:rsid w:val="00EE271C"/>
    <w:rsid w:val="00EE31FA"/>
    <w:rsid w:val="00EE688C"/>
    <w:rsid w:val="00EE6F32"/>
    <w:rsid w:val="00EE7C92"/>
    <w:rsid w:val="00EE7CA5"/>
    <w:rsid w:val="00EF0271"/>
    <w:rsid w:val="00EF073A"/>
    <w:rsid w:val="00EF0BF0"/>
    <w:rsid w:val="00EF10AE"/>
    <w:rsid w:val="00EF1CA9"/>
    <w:rsid w:val="00EF226B"/>
    <w:rsid w:val="00EF2E3A"/>
    <w:rsid w:val="00EF39B0"/>
    <w:rsid w:val="00EF3E06"/>
    <w:rsid w:val="00EF4856"/>
    <w:rsid w:val="00EF570D"/>
    <w:rsid w:val="00EF5D63"/>
    <w:rsid w:val="00EF6599"/>
    <w:rsid w:val="00EF65F8"/>
    <w:rsid w:val="00EF70F6"/>
    <w:rsid w:val="00F0054C"/>
    <w:rsid w:val="00F009A3"/>
    <w:rsid w:val="00F00EC5"/>
    <w:rsid w:val="00F017A5"/>
    <w:rsid w:val="00F01963"/>
    <w:rsid w:val="00F01E1E"/>
    <w:rsid w:val="00F03F18"/>
    <w:rsid w:val="00F04C24"/>
    <w:rsid w:val="00F0638B"/>
    <w:rsid w:val="00F072A7"/>
    <w:rsid w:val="00F07873"/>
    <w:rsid w:val="00F078DC"/>
    <w:rsid w:val="00F1022C"/>
    <w:rsid w:val="00F11FE9"/>
    <w:rsid w:val="00F11FFB"/>
    <w:rsid w:val="00F13FC6"/>
    <w:rsid w:val="00F1490F"/>
    <w:rsid w:val="00F16E0A"/>
    <w:rsid w:val="00F17566"/>
    <w:rsid w:val="00F2096A"/>
    <w:rsid w:val="00F20D27"/>
    <w:rsid w:val="00F2161F"/>
    <w:rsid w:val="00F21E77"/>
    <w:rsid w:val="00F22142"/>
    <w:rsid w:val="00F23297"/>
    <w:rsid w:val="00F236AF"/>
    <w:rsid w:val="00F24117"/>
    <w:rsid w:val="00F2459E"/>
    <w:rsid w:val="00F25A56"/>
    <w:rsid w:val="00F25E73"/>
    <w:rsid w:val="00F262F1"/>
    <w:rsid w:val="00F26CB2"/>
    <w:rsid w:val="00F26E55"/>
    <w:rsid w:val="00F271B8"/>
    <w:rsid w:val="00F2790E"/>
    <w:rsid w:val="00F31539"/>
    <w:rsid w:val="00F323A0"/>
    <w:rsid w:val="00F325BB"/>
    <w:rsid w:val="00F32918"/>
    <w:rsid w:val="00F32985"/>
    <w:rsid w:val="00F32BA8"/>
    <w:rsid w:val="00F349F1"/>
    <w:rsid w:val="00F34D8D"/>
    <w:rsid w:val="00F37216"/>
    <w:rsid w:val="00F37E62"/>
    <w:rsid w:val="00F418BB"/>
    <w:rsid w:val="00F420FA"/>
    <w:rsid w:val="00F42C72"/>
    <w:rsid w:val="00F4350D"/>
    <w:rsid w:val="00F44D76"/>
    <w:rsid w:val="00F4587F"/>
    <w:rsid w:val="00F46CFB"/>
    <w:rsid w:val="00F4790A"/>
    <w:rsid w:val="00F47B99"/>
    <w:rsid w:val="00F47DAA"/>
    <w:rsid w:val="00F506B3"/>
    <w:rsid w:val="00F52D09"/>
    <w:rsid w:val="00F54F07"/>
    <w:rsid w:val="00F55250"/>
    <w:rsid w:val="00F55253"/>
    <w:rsid w:val="00F553B2"/>
    <w:rsid w:val="00F55AD2"/>
    <w:rsid w:val="00F560FE"/>
    <w:rsid w:val="00F567F7"/>
    <w:rsid w:val="00F56A20"/>
    <w:rsid w:val="00F57673"/>
    <w:rsid w:val="00F6022F"/>
    <w:rsid w:val="00F61191"/>
    <w:rsid w:val="00F61780"/>
    <w:rsid w:val="00F61DC3"/>
    <w:rsid w:val="00F62036"/>
    <w:rsid w:val="00F620CE"/>
    <w:rsid w:val="00F625E5"/>
    <w:rsid w:val="00F641E5"/>
    <w:rsid w:val="00F644A2"/>
    <w:rsid w:val="00F651BA"/>
    <w:rsid w:val="00F651EB"/>
    <w:rsid w:val="00F65B52"/>
    <w:rsid w:val="00F67BCA"/>
    <w:rsid w:val="00F70EEF"/>
    <w:rsid w:val="00F70FCD"/>
    <w:rsid w:val="00F71365"/>
    <w:rsid w:val="00F7225A"/>
    <w:rsid w:val="00F73BD6"/>
    <w:rsid w:val="00F73CE2"/>
    <w:rsid w:val="00F77634"/>
    <w:rsid w:val="00F82A43"/>
    <w:rsid w:val="00F82EBB"/>
    <w:rsid w:val="00F83989"/>
    <w:rsid w:val="00F846F0"/>
    <w:rsid w:val="00F85099"/>
    <w:rsid w:val="00F853E7"/>
    <w:rsid w:val="00F85B0D"/>
    <w:rsid w:val="00F8682A"/>
    <w:rsid w:val="00F86B54"/>
    <w:rsid w:val="00F87BFD"/>
    <w:rsid w:val="00F87CE5"/>
    <w:rsid w:val="00F90890"/>
    <w:rsid w:val="00F91A7A"/>
    <w:rsid w:val="00F9379C"/>
    <w:rsid w:val="00F93BE8"/>
    <w:rsid w:val="00F94444"/>
    <w:rsid w:val="00F94998"/>
    <w:rsid w:val="00F95524"/>
    <w:rsid w:val="00F9597A"/>
    <w:rsid w:val="00F9632C"/>
    <w:rsid w:val="00F97505"/>
    <w:rsid w:val="00F9762E"/>
    <w:rsid w:val="00F97741"/>
    <w:rsid w:val="00F9795F"/>
    <w:rsid w:val="00F97BA3"/>
    <w:rsid w:val="00FA1ACF"/>
    <w:rsid w:val="00FA1E52"/>
    <w:rsid w:val="00FA2AA9"/>
    <w:rsid w:val="00FA2E76"/>
    <w:rsid w:val="00FA4638"/>
    <w:rsid w:val="00FA47FF"/>
    <w:rsid w:val="00FA5CD8"/>
    <w:rsid w:val="00FA6312"/>
    <w:rsid w:val="00FA70C4"/>
    <w:rsid w:val="00FA75A8"/>
    <w:rsid w:val="00FB1409"/>
    <w:rsid w:val="00FB2BCD"/>
    <w:rsid w:val="00FB45EE"/>
    <w:rsid w:val="00FB5C1F"/>
    <w:rsid w:val="00FB6588"/>
    <w:rsid w:val="00FB6CF0"/>
    <w:rsid w:val="00FB7B6F"/>
    <w:rsid w:val="00FB7E0C"/>
    <w:rsid w:val="00FB7E93"/>
    <w:rsid w:val="00FC0667"/>
    <w:rsid w:val="00FC0C32"/>
    <w:rsid w:val="00FC18B7"/>
    <w:rsid w:val="00FC2D81"/>
    <w:rsid w:val="00FC4B0B"/>
    <w:rsid w:val="00FC5D46"/>
    <w:rsid w:val="00FC5D76"/>
    <w:rsid w:val="00FC5DE7"/>
    <w:rsid w:val="00FC6485"/>
    <w:rsid w:val="00FC67EE"/>
    <w:rsid w:val="00FC7393"/>
    <w:rsid w:val="00FD09FC"/>
    <w:rsid w:val="00FD1F0A"/>
    <w:rsid w:val="00FD23DE"/>
    <w:rsid w:val="00FD276C"/>
    <w:rsid w:val="00FD2B49"/>
    <w:rsid w:val="00FD3B7C"/>
    <w:rsid w:val="00FD5378"/>
    <w:rsid w:val="00FD5B63"/>
    <w:rsid w:val="00FD5B65"/>
    <w:rsid w:val="00FD5DB7"/>
    <w:rsid w:val="00FD5F44"/>
    <w:rsid w:val="00FD7410"/>
    <w:rsid w:val="00FD7CA6"/>
    <w:rsid w:val="00FE0567"/>
    <w:rsid w:val="00FE0D71"/>
    <w:rsid w:val="00FE13F5"/>
    <w:rsid w:val="00FE1FDA"/>
    <w:rsid w:val="00FE24F1"/>
    <w:rsid w:val="00FE29F7"/>
    <w:rsid w:val="00FE2F8A"/>
    <w:rsid w:val="00FE2FB7"/>
    <w:rsid w:val="00FE3B0F"/>
    <w:rsid w:val="00FE444B"/>
    <w:rsid w:val="00FE4688"/>
    <w:rsid w:val="00FE55EE"/>
    <w:rsid w:val="00FE6309"/>
    <w:rsid w:val="00FE7236"/>
    <w:rsid w:val="00FE7E73"/>
    <w:rsid w:val="00FE7EF3"/>
    <w:rsid w:val="00FF18CE"/>
    <w:rsid w:val="00FF2D9E"/>
    <w:rsid w:val="00FF38FC"/>
    <w:rsid w:val="00FF4CA8"/>
    <w:rsid w:val="00FF540A"/>
    <w:rsid w:val="00FF5941"/>
    <w:rsid w:val="00FF5A4A"/>
    <w:rsid w:val="00FF7865"/>
    <w:rsid w:val="00FF7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21"/>
    <o:shapelayout v:ext="edit">
      <o:idmap v:ext="edit" data="1"/>
    </o:shapelayout>
  </w:shapeDefaults>
  <w:decimalSymbol w:val="."/>
  <w:listSeparator w:val=","/>
  <w14:docId w14:val="2B88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12D87"/>
    <w:pPr>
      <w:spacing w:line="260" w:lineRule="atLeast"/>
    </w:pPr>
    <w:rPr>
      <w:sz w:val="22"/>
    </w:rPr>
  </w:style>
  <w:style w:type="paragraph" w:styleId="Heading1">
    <w:name w:val="heading 1"/>
    <w:basedOn w:val="Normal"/>
    <w:next w:val="Normal"/>
    <w:link w:val="Heading1Char"/>
    <w:uiPriority w:val="9"/>
    <w:qFormat/>
    <w:rsid w:val="00512D8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2D8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2D8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2D8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12D8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12D8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12D8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12D8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12D8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12D87"/>
  </w:style>
  <w:style w:type="paragraph" w:customStyle="1" w:styleId="OPCParaBase">
    <w:name w:val="OPCParaBase"/>
    <w:qFormat/>
    <w:rsid w:val="00512D87"/>
    <w:pPr>
      <w:spacing w:line="260" w:lineRule="atLeast"/>
    </w:pPr>
    <w:rPr>
      <w:rFonts w:eastAsia="Times New Roman" w:cs="Times New Roman"/>
      <w:sz w:val="22"/>
      <w:lang w:eastAsia="en-AU"/>
    </w:rPr>
  </w:style>
  <w:style w:type="paragraph" w:customStyle="1" w:styleId="ShortT">
    <w:name w:val="ShortT"/>
    <w:basedOn w:val="OPCParaBase"/>
    <w:next w:val="Normal"/>
    <w:qFormat/>
    <w:rsid w:val="00512D87"/>
    <w:pPr>
      <w:spacing w:line="240" w:lineRule="auto"/>
    </w:pPr>
    <w:rPr>
      <w:b/>
      <w:sz w:val="40"/>
    </w:rPr>
  </w:style>
  <w:style w:type="paragraph" w:customStyle="1" w:styleId="ActHead1">
    <w:name w:val="ActHead 1"/>
    <w:aliases w:val="c"/>
    <w:basedOn w:val="OPCParaBase"/>
    <w:next w:val="Normal"/>
    <w:qFormat/>
    <w:rsid w:val="00512D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2D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2D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2D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12D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2D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2D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2D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2D8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2D87"/>
  </w:style>
  <w:style w:type="paragraph" w:customStyle="1" w:styleId="Blocks">
    <w:name w:val="Blocks"/>
    <w:aliases w:val="bb"/>
    <w:basedOn w:val="OPCParaBase"/>
    <w:qFormat/>
    <w:rsid w:val="00512D87"/>
    <w:pPr>
      <w:spacing w:line="240" w:lineRule="auto"/>
    </w:pPr>
    <w:rPr>
      <w:sz w:val="24"/>
    </w:rPr>
  </w:style>
  <w:style w:type="paragraph" w:customStyle="1" w:styleId="BoxText">
    <w:name w:val="BoxText"/>
    <w:aliases w:val="bt"/>
    <w:basedOn w:val="OPCParaBase"/>
    <w:qFormat/>
    <w:rsid w:val="00512D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2D87"/>
    <w:rPr>
      <w:b/>
    </w:rPr>
  </w:style>
  <w:style w:type="paragraph" w:customStyle="1" w:styleId="BoxHeadItalic">
    <w:name w:val="BoxHeadItalic"/>
    <w:aliases w:val="bhi"/>
    <w:basedOn w:val="BoxText"/>
    <w:next w:val="BoxStep"/>
    <w:qFormat/>
    <w:rsid w:val="00512D87"/>
    <w:rPr>
      <w:i/>
    </w:rPr>
  </w:style>
  <w:style w:type="paragraph" w:customStyle="1" w:styleId="BoxList">
    <w:name w:val="BoxList"/>
    <w:aliases w:val="bl"/>
    <w:basedOn w:val="BoxText"/>
    <w:qFormat/>
    <w:rsid w:val="00512D87"/>
    <w:pPr>
      <w:ind w:left="1559" w:hanging="425"/>
    </w:pPr>
  </w:style>
  <w:style w:type="paragraph" w:customStyle="1" w:styleId="BoxNote">
    <w:name w:val="BoxNote"/>
    <w:aliases w:val="bn"/>
    <w:basedOn w:val="BoxText"/>
    <w:qFormat/>
    <w:rsid w:val="00512D87"/>
    <w:pPr>
      <w:tabs>
        <w:tab w:val="left" w:pos="1985"/>
      </w:tabs>
      <w:spacing w:before="122" w:line="198" w:lineRule="exact"/>
      <w:ind w:left="2948" w:hanging="1814"/>
    </w:pPr>
    <w:rPr>
      <w:sz w:val="18"/>
    </w:rPr>
  </w:style>
  <w:style w:type="paragraph" w:customStyle="1" w:styleId="BoxPara">
    <w:name w:val="BoxPara"/>
    <w:aliases w:val="bp"/>
    <w:basedOn w:val="BoxText"/>
    <w:qFormat/>
    <w:rsid w:val="00512D87"/>
    <w:pPr>
      <w:tabs>
        <w:tab w:val="right" w:pos="2268"/>
      </w:tabs>
      <w:ind w:left="2552" w:hanging="1418"/>
    </w:pPr>
  </w:style>
  <w:style w:type="paragraph" w:customStyle="1" w:styleId="BoxStep">
    <w:name w:val="BoxStep"/>
    <w:aliases w:val="bs"/>
    <w:basedOn w:val="BoxText"/>
    <w:qFormat/>
    <w:rsid w:val="00512D87"/>
    <w:pPr>
      <w:ind w:left="1985" w:hanging="851"/>
    </w:pPr>
  </w:style>
  <w:style w:type="character" w:customStyle="1" w:styleId="CharAmPartNo">
    <w:name w:val="CharAmPartNo"/>
    <w:basedOn w:val="OPCCharBase"/>
    <w:qFormat/>
    <w:rsid w:val="00512D87"/>
  </w:style>
  <w:style w:type="character" w:customStyle="1" w:styleId="CharAmPartText">
    <w:name w:val="CharAmPartText"/>
    <w:basedOn w:val="OPCCharBase"/>
    <w:qFormat/>
    <w:rsid w:val="00512D87"/>
  </w:style>
  <w:style w:type="character" w:customStyle="1" w:styleId="CharAmSchNo">
    <w:name w:val="CharAmSchNo"/>
    <w:basedOn w:val="OPCCharBase"/>
    <w:qFormat/>
    <w:rsid w:val="00512D87"/>
  </w:style>
  <w:style w:type="character" w:customStyle="1" w:styleId="CharAmSchText">
    <w:name w:val="CharAmSchText"/>
    <w:basedOn w:val="OPCCharBase"/>
    <w:qFormat/>
    <w:rsid w:val="00512D87"/>
  </w:style>
  <w:style w:type="character" w:customStyle="1" w:styleId="CharBoldItalic">
    <w:name w:val="CharBoldItalic"/>
    <w:basedOn w:val="OPCCharBase"/>
    <w:uiPriority w:val="1"/>
    <w:qFormat/>
    <w:rsid w:val="00512D87"/>
    <w:rPr>
      <w:b/>
      <w:i/>
    </w:rPr>
  </w:style>
  <w:style w:type="character" w:customStyle="1" w:styleId="CharChapNo">
    <w:name w:val="CharChapNo"/>
    <w:basedOn w:val="OPCCharBase"/>
    <w:uiPriority w:val="1"/>
    <w:qFormat/>
    <w:rsid w:val="00512D87"/>
  </w:style>
  <w:style w:type="character" w:customStyle="1" w:styleId="CharChapText">
    <w:name w:val="CharChapText"/>
    <w:basedOn w:val="OPCCharBase"/>
    <w:uiPriority w:val="1"/>
    <w:qFormat/>
    <w:rsid w:val="00512D87"/>
  </w:style>
  <w:style w:type="character" w:customStyle="1" w:styleId="CharDivNo">
    <w:name w:val="CharDivNo"/>
    <w:basedOn w:val="OPCCharBase"/>
    <w:uiPriority w:val="1"/>
    <w:qFormat/>
    <w:rsid w:val="00512D87"/>
  </w:style>
  <w:style w:type="character" w:customStyle="1" w:styleId="CharDivText">
    <w:name w:val="CharDivText"/>
    <w:basedOn w:val="OPCCharBase"/>
    <w:uiPriority w:val="1"/>
    <w:qFormat/>
    <w:rsid w:val="00512D87"/>
  </w:style>
  <w:style w:type="character" w:customStyle="1" w:styleId="CharItalic">
    <w:name w:val="CharItalic"/>
    <w:basedOn w:val="OPCCharBase"/>
    <w:uiPriority w:val="1"/>
    <w:qFormat/>
    <w:rsid w:val="00512D87"/>
    <w:rPr>
      <w:i/>
    </w:rPr>
  </w:style>
  <w:style w:type="character" w:customStyle="1" w:styleId="CharPartNo">
    <w:name w:val="CharPartNo"/>
    <w:basedOn w:val="OPCCharBase"/>
    <w:uiPriority w:val="1"/>
    <w:qFormat/>
    <w:rsid w:val="00512D87"/>
  </w:style>
  <w:style w:type="character" w:customStyle="1" w:styleId="CharPartText">
    <w:name w:val="CharPartText"/>
    <w:basedOn w:val="OPCCharBase"/>
    <w:uiPriority w:val="1"/>
    <w:qFormat/>
    <w:rsid w:val="00512D87"/>
  </w:style>
  <w:style w:type="character" w:customStyle="1" w:styleId="CharSectno">
    <w:name w:val="CharSectno"/>
    <w:basedOn w:val="OPCCharBase"/>
    <w:qFormat/>
    <w:rsid w:val="00512D87"/>
  </w:style>
  <w:style w:type="character" w:customStyle="1" w:styleId="CharSubdNo">
    <w:name w:val="CharSubdNo"/>
    <w:basedOn w:val="OPCCharBase"/>
    <w:uiPriority w:val="1"/>
    <w:qFormat/>
    <w:rsid w:val="00512D87"/>
  </w:style>
  <w:style w:type="character" w:customStyle="1" w:styleId="CharSubdText">
    <w:name w:val="CharSubdText"/>
    <w:basedOn w:val="OPCCharBase"/>
    <w:uiPriority w:val="1"/>
    <w:qFormat/>
    <w:rsid w:val="00512D87"/>
  </w:style>
  <w:style w:type="paragraph" w:customStyle="1" w:styleId="CTA--">
    <w:name w:val="CTA --"/>
    <w:basedOn w:val="OPCParaBase"/>
    <w:next w:val="Normal"/>
    <w:rsid w:val="00512D87"/>
    <w:pPr>
      <w:spacing w:before="60" w:line="240" w:lineRule="atLeast"/>
      <w:ind w:left="142" w:hanging="142"/>
    </w:pPr>
    <w:rPr>
      <w:sz w:val="20"/>
    </w:rPr>
  </w:style>
  <w:style w:type="paragraph" w:customStyle="1" w:styleId="CTA-">
    <w:name w:val="CTA -"/>
    <w:basedOn w:val="OPCParaBase"/>
    <w:rsid w:val="00512D87"/>
    <w:pPr>
      <w:spacing w:before="60" w:line="240" w:lineRule="atLeast"/>
      <w:ind w:left="85" w:hanging="85"/>
    </w:pPr>
    <w:rPr>
      <w:sz w:val="20"/>
    </w:rPr>
  </w:style>
  <w:style w:type="paragraph" w:customStyle="1" w:styleId="CTA---">
    <w:name w:val="CTA ---"/>
    <w:basedOn w:val="OPCParaBase"/>
    <w:next w:val="Normal"/>
    <w:rsid w:val="00512D87"/>
    <w:pPr>
      <w:spacing w:before="60" w:line="240" w:lineRule="atLeast"/>
      <w:ind w:left="198" w:hanging="198"/>
    </w:pPr>
    <w:rPr>
      <w:sz w:val="20"/>
    </w:rPr>
  </w:style>
  <w:style w:type="paragraph" w:customStyle="1" w:styleId="CTA----">
    <w:name w:val="CTA ----"/>
    <w:basedOn w:val="OPCParaBase"/>
    <w:next w:val="Normal"/>
    <w:rsid w:val="00512D87"/>
    <w:pPr>
      <w:spacing w:before="60" w:line="240" w:lineRule="atLeast"/>
      <w:ind w:left="255" w:hanging="255"/>
    </w:pPr>
    <w:rPr>
      <w:sz w:val="20"/>
    </w:rPr>
  </w:style>
  <w:style w:type="paragraph" w:customStyle="1" w:styleId="CTA1a">
    <w:name w:val="CTA 1(a)"/>
    <w:basedOn w:val="OPCParaBase"/>
    <w:rsid w:val="00512D87"/>
    <w:pPr>
      <w:tabs>
        <w:tab w:val="right" w:pos="414"/>
      </w:tabs>
      <w:spacing w:before="40" w:line="240" w:lineRule="atLeast"/>
      <w:ind w:left="675" w:hanging="675"/>
    </w:pPr>
    <w:rPr>
      <w:sz w:val="20"/>
    </w:rPr>
  </w:style>
  <w:style w:type="paragraph" w:customStyle="1" w:styleId="CTA1ai">
    <w:name w:val="CTA 1(a)(i)"/>
    <w:basedOn w:val="OPCParaBase"/>
    <w:rsid w:val="00512D87"/>
    <w:pPr>
      <w:tabs>
        <w:tab w:val="right" w:pos="1004"/>
      </w:tabs>
      <w:spacing w:before="40" w:line="240" w:lineRule="atLeast"/>
      <w:ind w:left="1253" w:hanging="1253"/>
    </w:pPr>
    <w:rPr>
      <w:sz w:val="20"/>
    </w:rPr>
  </w:style>
  <w:style w:type="paragraph" w:customStyle="1" w:styleId="CTA2a">
    <w:name w:val="CTA 2(a)"/>
    <w:basedOn w:val="OPCParaBase"/>
    <w:rsid w:val="00512D87"/>
    <w:pPr>
      <w:tabs>
        <w:tab w:val="right" w:pos="482"/>
      </w:tabs>
      <w:spacing w:before="40" w:line="240" w:lineRule="atLeast"/>
      <w:ind w:left="748" w:hanging="748"/>
    </w:pPr>
    <w:rPr>
      <w:sz w:val="20"/>
    </w:rPr>
  </w:style>
  <w:style w:type="paragraph" w:customStyle="1" w:styleId="CTA2ai">
    <w:name w:val="CTA 2(a)(i)"/>
    <w:basedOn w:val="OPCParaBase"/>
    <w:rsid w:val="00512D87"/>
    <w:pPr>
      <w:tabs>
        <w:tab w:val="right" w:pos="1089"/>
      </w:tabs>
      <w:spacing w:before="40" w:line="240" w:lineRule="atLeast"/>
      <w:ind w:left="1327" w:hanging="1327"/>
    </w:pPr>
    <w:rPr>
      <w:sz w:val="20"/>
    </w:rPr>
  </w:style>
  <w:style w:type="paragraph" w:customStyle="1" w:styleId="CTA3a">
    <w:name w:val="CTA 3(a)"/>
    <w:basedOn w:val="OPCParaBase"/>
    <w:rsid w:val="00512D87"/>
    <w:pPr>
      <w:tabs>
        <w:tab w:val="right" w:pos="556"/>
      </w:tabs>
      <w:spacing w:before="40" w:line="240" w:lineRule="atLeast"/>
      <w:ind w:left="805" w:hanging="805"/>
    </w:pPr>
    <w:rPr>
      <w:sz w:val="20"/>
    </w:rPr>
  </w:style>
  <w:style w:type="paragraph" w:customStyle="1" w:styleId="CTA3ai">
    <w:name w:val="CTA 3(a)(i)"/>
    <w:basedOn w:val="OPCParaBase"/>
    <w:rsid w:val="00512D87"/>
    <w:pPr>
      <w:tabs>
        <w:tab w:val="right" w:pos="1140"/>
      </w:tabs>
      <w:spacing w:before="40" w:line="240" w:lineRule="atLeast"/>
      <w:ind w:left="1361" w:hanging="1361"/>
    </w:pPr>
    <w:rPr>
      <w:sz w:val="20"/>
    </w:rPr>
  </w:style>
  <w:style w:type="paragraph" w:customStyle="1" w:styleId="CTA4a">
    <w:name w:val="CTA 4(a)"/>
    <w:basedOn w:val="OPCParaBase"/>
    <w:rsid w:val="00512D87"/>
    <w:pPr>
      <w:tabs>
        <w:tab w:val="right" w:pos="624"/>
      </w:tabs>
      <w:spacing w:before="40" w:line="240" w:lineRule="atLeast"/>
      <w:ind w:left="873" w:hanging="873"/>
    </w:pPr>
    <w:rPr>
      <w:sz w:val="20"/>
    </w:rPr>
  </w:style>
  <w:style w:type="paragraph" w:customStyle="1" w:styleId="CTA4ai">
    <w:name w:val="CTA 4(a)(i)"/>
    <w:basedOn w:val="OPCParaBase"/>
    <w:rsid w:val="00512D87"/>
    <w:pPr>
      <w:tabs>
        <w:tab w:val="right" w:pos="1213"/>
      </w:tabs>
      <w:spacing w:before="40" w:line="240" w:lineRule="atLeast"/>
      <w:ind w:left="1452" w:hanging="1452"/>
    </w:pPr>
    <w:rPr>
      <w:sz w:val="20"/>
    </w:rPr>
  </w:style>
  <w:style w:type="paragraph" w:customStyle="1" w:styleId="CTACAPS">
    <w:name w:val="CTA CAPS"/>
    <w:basedOn w:val="OPCParaBase"/>
    <w:rsid w:val="00512D87"/>
    <w:pPr>
      <w:spacing w:before="60" w:line="240" w:lineRule="atLeast"/>
    </w:pPr>
    <w:rPr>
      <w:sz w:val="20"/>
    </w:rPr>
  </w:style>
  <w:style w:type="paragraph" w:customStyle="1" w:styleId="CTAright">
    <w:name w:val="CTA right"/>
    <w:basedOn w:val="OPCParaBase"/>
    <w:rsid w:val="00512D87"/>
    <w:pPr>
      <w:spacing w:before="60" w:line="240" w:lineRule="auto"/>
      <w:jc w:val="right"/>
    </w:pPr>
    <w:rPr>
      <w:sz w:val="20"/>
    </w:rPr>
  </w:style>
  <w:style w:type="paragraph" w:customStyle="1" w:styleId="subsection">
    <w:name w:val="subsection"/>
    <w:aliases w:val="ss"/>
    <w:basedOn w:val="OPCParaBase"/>
    <w:link w:val="subsectionChar"/>
    <w:rsid w:val="00512D87"/>
    <w:pPr>
      <w:tabs>
        <w:tab w:val="right" w:pos="1021"/>
      </w:tabs>
      <w:spacing w:before="180" w:line="240" w:lineRule="auto"/>
      <w:ind w:left="1134" w:hanging="1134"/>
    </w:pPr>
  </w:style>
  <w:style w:type="paragraph" w:customStyle="1" w:styleId="Definition">
    <w:name w:val="Definition"/>
    <w:aliases w:val="dd"/>
    <w:basedOn w:val="OPCParaBase"/>
    <w:rsid w:val="00512D87"/>
    <w:pPr>
      <w:spacing w:before="180" w:line="240" w:lineRule="auto"/>
      <w:ind w:left="1134"/>
    </w:pPr>
  </w:style>
  <w:style w:type="paragraph" w:customStyle="1" w:styleId="EndNotespara">
    <w:name w:val="EndNotes(para)"/>
    <w:aliases w:val="eta"/>
    <w:basedOn w:val="OPCParaBase"/>
    <w:next w:val="EndNotessubpara"/>
    <w:rsid w:val="00512D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2D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2D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2D87"/>
    <w:pPr>
      <w:tabs>
        <w:tab w:val="right" w:pos="1412"/>
      </w:tabs>
      <w:spacing w:before="60" w:line="240" w:lineRule="auto"/>
      <w:ind w:left="1525" w:hanging="1525"/>
    </w:pPr>
    <w:rPr>
      <w:sz w:val="20"/>
    </w:rPr>
  </w:style>
  <w:style w:type="paragraph" w:customStyle="1" w:styleId="Formula">
    <w:name w:val="Formula"/>
    <w:basedOn w:val="OPCParaBase"/>
    <w:rsid w:val="00512D87"/>
    <w:pPr>
      <w:spacing w:line="240" w:lineRule="auto"/>
      <w:ind w:left="1134"/>
    </w:pPr>
    <w:rPr>
      <w:sz w:val="20"/>
    </w:rPr>
  </w:style>
  <w:style w:type="paragraph" w:styleId="Header">
    <w:name w:val="header"/>
    <w:aliases w:val="h"/>
    <w:basedOn w:val="OPCParaBase"/>
    <w:link w:val="HeaderChar"/>
    <w:unhideWhenUsed/>
    <w:rsid w:val="00512D87"/>
    <w:pPr>
      <w:keepNext/>
      <w:keepLines/>
      <w:tabs>
        <w:tab w:val="center" w:pos="4150"/>
        <w:tab w:val="right" w:pos="8307"/>
      </w:tabs>
      <w:spacing w:line="160" w:lineRule="exact"/>
    </w:pPr>
    <w:rPr>
      <w:sz w:val="16"/>
    </w:rPr>
  </w:style>
  <w:style w:type="character" w:customStyle="1" w:styleId="HeaderChar">
    <w:name w:val="Header Char"/>
    <w:aliases w:val="h Char"/>
    <w:basedOn w:val="DefaultParagraphFont"/>
    <w:link w:val="Header"/>
    <w:rsid w:val="00512D87"/>
    <w:rPr>
      <w:rFonts w:eastAsia="Times New Roman" w:cs="Times New Roman"/>
      <w:sz w:val="16"/>
      <w:lang w:eastAsia="en-AU"/>
    </w:rPr>
  </w:style>
  <w:style w:type="paragraph" w:customStyle="1" w:styleId="House">
    <w:name w:val="House"/>
    <w:basedOn w:val="OPCParaBase"/>
    <w:rsid w:val="00512D87"/>
    <w:pPr>
      <w:spacing w:line="240" w:lineRule="auto"/>
    </w:pPr>
    <w:rPr>
      <w:sz w:val="28"/>
    </w:rPr>
  </w:style>
  <w:style w:type="paragraph" w:customStyle="1" w:styleId="Item">
    <w:name w:val="Item"/>
    <w:aliases w:val="i"/>
    <w:basedOn w:val="OPCParaBase"/>
    <w:next w:val="ItemHead"/>
    <w:rsid w:val="00512D87"/>
    <w:pPr>
      <w:keepLines/>
      <w:spacing w:before="80" w:line="240" w:lineRule="auto"/>
      <w:ind w:left="709"/>
    </w:pPr>
  </w:style>
  <w:style w:type="paragraph" w:customStyle="1" w:styleId="ItemHead">
    <w:name w:val="ItemHead"/>
    <w:aliases w:val="ih"/>
    <w:basedOn w:val="OPCParaBase"/>
    <w:next w:val="Item"/>
    <w:rsid w:val="00512D8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12D87"/>
    <w:pPr>
      <w:spacing w:line="240" w:lineRule="auto"/>
    </w:pPr>
    <w:rPr>
      <w:b/>
      <w:sz w:val="32"/>
    </w:rPr>
  </w:style>
  <w:style w:type="paragraph" w:customStyle="1" w:styleId="notedraft">
    <w:name w:val="note(draft)"/>
    <w:aliases w:val="nd"/>
    <w:basedOn w:val="OPCParaBase"/>
    <w:rsid w:val="00512D87"/>
    <w:pPr>
      <w:spacing w:before="240" w:line="240" w:lineRule="auto"/>
      <w:ind w:left="284" w:hanging="284"/>
    </w:pPr>
    <w:rPr>
      <w:i/>
      <w:sz w:val="24"/>
    </w:rPr>
  </w:style>
  <w:style w:type="paragraph" w:customStyle="1" w:styleId="notemargin">
    <w:name w:val="note(margin)"/>
    <w:aliases w:val="nm"/>
    <w:basedOn w:val="OPCParaBase"/>
    <w:rsid w:val="00512D87"/>
    <w:pPr>
      <w:tabs>
        <w:tab w:val="left" w:pos="709"/>
      </w:tabs>
      <w:spacing w:before="122" w:line="198" w:lineRule="exact"/>
      <w:ind w:left="709" w:hanging="709"/>
    </w:pPr>
    <w:rPr>
      <w:sz w:val="18"/>
    </w:rPr>
  </w:style>
  <w:style w:type="paragraph" w:customStyle="1" w:styleId="noteToPara">
    <w:name w:val="noteToPara"/>
    <w:aliases w:val="ntp"/>
    <w:basedOn w:val="OPCParaBase"/>
    <w:rsid w:val="00512D87"/>
    <w:pPr>
      <w:spacing w:before="122" w:line="198" w:lineRule="exact"/>
      <w:ind w:left="2353" w:hanging="709"/>
    </w:pPr>
    <w:rPr>
      <w:sz w:val="18"/>
    </w:rPr>
  </w:style>
  <w:style w:type="paragraph" w:customStyle="1" w:styleId="noteParlAmend">
    <w:name w:val="note(ParlAmend)"/>
    <w:aliases w:val="npp"/>
    <w:basedOn w:val="OPCParaBase"/>
    <w:next w:val="ParlAmend"/>
    <w:rsid w:val="00512D87"/>
    <w:pPr>
      <w:spacing w:line="240" w:lineRule="auto"/>
      <w:jc w:val="right"/>
    </w:pPr>
    <w:rPr>
      <w:rFonts w:ascii="Arial" w:hAnsi="Arial"/>
      <w:b/>
      <w:i/>
    </w:rPr>
  </w:style>
  <w:style w:type="paragraph" w:customStyle="1" w:styleId="Page1">
    <w:name w:val="Page1"/>
    <w:basedOn w:val="OPCParaBase"/>
    <w:rsid w:val="00512D87"/>
    <w:pPr>
      <w:spacing w:before="5600" w:line="240" w:lineRule="auto"/>
    </w:pPr>
    <w:rPr>
      <w:b/>
      <w:sz w:val="32"/>
    </w:rPr>
  </w:style>
  <w:style w:type="paragraph" w:customStyle="1" w:styleId="PageBreak">
    <w:name w:val="PageBreak"/>
    <w:aliases w:val="pb"/>
    <w:basedOn w:val="OPCParaBase"/>
    <w:rsid w:val="00512D87"/>
    <w:pPr>
      <w:spacing w:line="240" w:lineRule="auto"/>
    </w:pPr>
    <w:rPr>
      <w:sz w:val="20"/>
    </w:rPr>
  </w:style>
  <w:style w:type="paragraph" w:customStyle="1" w:styleId="paragraphsub">
    <w:name w:val="paragraph(sub)"/>
    <w:aliases w:val="aa"/>
    <w:basedOn w:val="OPCParaBase"/>
    <w:link w:val="paragraphsubChar"/>
    <w:rsid w:val="00512D87"/>
    <w:pPr>
      <w:tabs>
        <w:tab w:val="right" w:pos="1985"/>
      </w:tabs>
      <w:spacing w:before="40" w:line="240" w:lineRule="auto"/>
      <w:ind w:left="2098" w:hanging="2098"/>
    </w:pPr>
  </w:style>
  <w:style w:type="paragraph" w:customStyle="1" w:styleId="paragraphsub-sub">
    <w:name w:val="paragraph(sub-sub)"/>
    <w:aliases w:val="aaa"/>
    <w:basedOn w:val="OPCParaBase"/>
    <w:rsid w:val="00512D87"/>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512D87"/>
    <w:pPr>
      <w:tabs>
        <w:tab w:val="right" w:pos="1531"/>
      </w:tabs>
      <w:spacing w:before="40" w:line="240" w:lineRule="auto"/>
      <w:ind w:left="1644" w:hanging="1644"/>
    </w:pPr>
  </w:style>
  <w:style w:type="paragraph" w:customStyle="1" w:styleId="ParlAmend">
    <w:name w:val="ParlAmend"/>
    <w:aliases w:val="pp"/>
    <w:basedOn w:val="OPCParaBase"/>
    <w:rsid w:val="00512D87"/>
    <w:pPr>
      <w:spacing w:before="240" w:line="240" w:lineRule="atLeast"/>
      <w:ind w:hanging="567"/>
    </w:pPr>
    <w:rPr>
      <w:sz w:val="24"/>
    </w:rPr>
  </w:style>
  <w:style w:type="paragraph" w:customStyle="1" w:styleId="Penalty">
    <w:name w:val="Penalty"/>
    <w:basedOn w:val="OPCParaBase"/>
    <w:rsid w:val="00512D87"/>
    <w:pPr>
      <w:tabs>
        <w:tab w:val="left" w:pos="2977"/>
      </w:tabs>
      <w:spacing w:before="180" w:line="240" w:lineRule="auto"/>
      <w:ind w:left="1985" w:hanging="851"/>
    </w:pPr>
  </w:style>
  <w:style w:type="paragraph" w:customStyle="1" w:styleId="Portfolio">
    <w:name w:val="Portfolio"/>
    <w:basedOn w:val="OPCParaBase"/>
    <w:rsid w:val="00512D87"/>
    <w:pPr>
      <w:spacing w:line="240" w:lineRule="auto"/>
    </w:pPr>
    <w:rPr>
      <w:i/>
      <w:sz w:val="20"/>
    </w:rPr>
  </w:style>
  <w:style w:type="paragraph" w:customStyle="1" w:styleId="Preamble">
    <w:name w:val="Preamble"/>
    <w:basedOn w:val="OPCParaBase"/>
    <w:next w:val="Normal"/>
    <w:rsid w:val="00512D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2D87"/>
    <w:pPr>
      <w:spacing w:line="240" w:lineRule="auto"/>
    </w:pPr>
    <w:rPr>
      <w:i/>
      <w:sz w:val="20"/>
    </w:rPr>
  </w:style>
  <w:style w:type="paragraph" w:customStyle="1" w:styleId="Session">
    <w:name w:val="Session"/>
    <w:basedOn w:val="OPCParaBase"/>
    <w:rsid w:val="00512D87"/>
    <w:pPr>
      <w:spacing w:line="240" w:lineRule="auto"/>
    </w:pPr>
    <w:rPr>
      <w:sz w:val="28"/>
    </w:rPr>
  </w:style>
  <w:style w:type="paragraph" w:customStyle="1" w:styleId="Sponsor">
    <w:name w:val="Sponsor"/>
    <w:basedOn w:val="OPCParaBase"/>
    <w:rsid w:val="00512D87"/>
    <w:pPr>
      <w:spacing w:line="240" w:lineRule="auto"/>
    </w:pPr>
    <w:rPr>
      <w:i/>
    </w:rPr>
  </w:style>
  <w:style w:type="paragraph" w:customStyle="1" w:styleId="Subitem">
    <w:name w:val="Subitem"/>
    <w:aliases w:val="iss"/>
    <w:basedOn w:val="OPCParaBase"/>
    <w:rsid w:val="00512D87"/>
    <w:pPr>
      <w:spacing w:before="180" w:line="240" w:lineRule="auto"/>
      <w:ind w:left="709" w:hanging="709"/>
    </w:pPr>
  </w:style>
  <w:style w:type="paragraph" w:customStyle="1" w:styleId="SubitemHead">
    <w:name w:val="SubitemHead"/>
    <w:aliases w:val="issh"/>
    <w:basedOn w:val="OPCParaBase"/>
    <w:rsid w:val="00512D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2D87"/>
    <w:pPr>
      <w:spacing w:before="40" w:line="240" w:lineRule="auto"/>
      <w:ind w:left="1134"/>
    </w:pPr>
  </w:style>
  <w:style w:type="paragraph" w:customStyle="1" w:styleId="SubsectionHead">
    <w:name w:val="SubsectionHead"/>
    <w:aliases w:val="ssh"/>
    <w:basedOn w:val="OPCParaBase"/>
    <w:next w:val="subsection"/>
    <w:rsid w:val="00512D87"/>
    <w:pPr>
      <w:keepNext/>
      <w:keepLines/>
      <w:spacing w:before="240" w:line="240" w:lineRule="auto"/>
      <w:ind w:left="1134"/>
    </w:pPr>
    <w:rPr>
      <w:i/>
    </w:rPr>
  </w:style>
  <w:style w:type="paragraph" w:customStyle="1" w:styleId="Tablea">
    <w:name w:val="Table(a)"/>
    <w:aliases w:val="ta"/>
    <w:basedOn w:val="OPCParaBase"/>
    <w:rsid w:val="00512D87"/>
    <w:pPr>
      <w:spacing w:before="60" w:line="240" w:lineRule="auto"/>
      <w:ind w:left="284" w:hanging="284"/>
    </w:pPr>
    <w:rPr>
      <w:sz w:val="20"/>
    </w:rPr>
  </w:style>
  <w:style w:type="paragraph" w:customStyle="1" w:styleId="TableAA">
    <w:name w:val="Table(AA)"/>
    <w:aliases w:val="taaa"/>
    <w:basedOn w:val="OPCParaBase"/>
    <w:rsid w:val="00512D8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12D8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512D87"/>
    <w:pPr>
      <w:spacing w:before="60" w:line="240" w:lineRule="atLeast"/>
    </w:pPr>
    <w:rPr>
      <w:sz w:val="20"/>
    </w:rPr>
  </w:style>
  <w:style w:type="paragraph" w:customStyle="1" w:styleId="TLPBoxTextnote">
    <w:name w:val="TLPBoxText(note"/>
    <w:aliases w:val="right)"/>
    <w:basedOn w:val="OPCParaBase"/>
    <w:rsid w:val="00512D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2D8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2D87"/>
    <w:pPr>
      <w:spacing w:before="122" w:line="198" w:lineRule="exact"/>
      <w:ind w:left="1985" w:hanging="851"/>
      <w:jc w:val="right"/>
    </w:pPr>
    <w:rPr>
      <w:sz w:val="18"/>
    </w:rPr>
  </w:style>
  <w:style w:type="paragraph" w:customStyle="1" w:styleId="TLPTableBullet">
    <w:name w:val="TLPTableBullet"/>
    <w:aliases w:val="ttb"/>
    <w:basedOn w:val="OPCParaBase"/>
    <w:rsid w:val="00512D87"/>
    <w:pPr>
      <w:spacing w:line="240" w:lineRule="exact"/>
      <w:ind w:left="284" w:hanging="284"/>
    </w:pPr>
    <w:rPr>
      <w:sz w:val="20"/>
    </w:rPr>
  </w:style>
  <w:style w:type="paragraph" w:styleId="TOC1">
    <w:name w:val="toc 1"/>
    <w:basedOn w:val="Normal"/>
    <w:next w:val="Normal"/>
    <w:uiPriority w:val="39"/>
    <w:unhideWhenUsed/>
    <w:rsid w:val="00512D8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12D8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12D8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12D8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12D8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12D8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12D8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12D8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12D8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12D87"/>
    <w:pPr>
      <w:keepLines/>
      <w:spacing w:before="240" w:after="120" w:line="240" w:lineRule="auto"/>
      <w:ind w:left="794"/>
    </w:pPr>
    <w:rPr>
      <w:b/>
      <w:kern w:val="28"/>
      <w:sz w:val="20"/>
    </w:rPr>
  </w:style>
  <w:style w:type="paragraph" w:customStyle="1" w:styleId="TofSectsHeading">
    <w:name w:val="TofSects(Heading)"/>
    <w:basedOn w:val="OPCParaBase"/>
    <w:rsid w:val="00512D87"/>
    <w:pPr>
      <w:spacing w:before="240" w:after="120" w:line="240" w:lineRule="auto"/>
    </w:pPr>
    <w:rPr>
      <w:b/>
      <w:sz w:val="24"/>
    </w:rPr>
  </w:style>
  <w:style w:type="paragraph" w:customStyle="1" w:styleId="TofSectsSection">
    <w:name w:val="TofSects(Section)"/>
    <w:basedOn w:val="OPCParaBase"/>
    <w:rsid w:val="00512D87"/>
    <w:pPr>
      <w:keepLines/>
      <w:spacing w:before="40" w:line="240" w:lineRule="auto"/>
      <w:ind w:left="1588" w:hanging="794"/>
    </w:pPr>
    <w:rPr>
      <w:kern w:val="28"/>
      <w:sz w:val="18"/>
    </w:rPr>
  </w:style>
  <w:style w:type="paragraph" w:customStyle="1" w:styleId="TofSectsSubdiv">
    <w:name w:val="TofSects(Subdiv)"/>
    <w:basedOn w:val="OPCParaBase"/>
    <w:rsid w:val="00512D87"/>
    <w:pPr>
      <w:keepLines/>
      <w:spacing w:before="80" w:line="240" w:lineRule="auto"/>
      <w:ind w:left="1588" w:hanging="794"/>
    </w:pPr>
    <w:rPr>
      <w:kern w:val="28"/>
    </w:rPr>
  </w:style>
  <w:style w:type="paragraph" w:customStyle="1" w:styleId="WRStyle">
    <w:name w:val="WR Style"/>
    <w:aliases w:val="WR"/>
    <w:basedOn w:val="OPCParaBase"/>
    <w:rsid w:val="00512D87"/>
    <w:pPr>
      <w:spacing w:before="240" w:line="240" w:lineRule="auto"/>
      <w:ind w:left="284" w:hanging="284"/>
    </w:pPr>
    <w:rPr>
      <w:b/>
      <w:i/>
      <w:kern w:val="28"/>
      <w:sz w:val="24"/>
    </w:rPr>
  </w:style>
  <w:style w:type="paragraph" w:customStyle="1" w:styleId="notepara">
    <w:name w:val="note(para)"/>
    <w:aliases w:val="na"/>
    <w:basedOn w:val="OPCParaBase"/>
    <w:rsid w:val="00512D87"/>
    <w:pPr>
      <w:spacing w:before="40" w:line="198" w:lineRule="exact"/>
      <w:ind w:left="2354" w:hanging="369"/>
    </w:pPr>
    <w:rPr>
      <w:sz w:val="18"/>
    </w:rPr>
  </w:style>
  <w:style w:type="paragraph" w:styleId="Footer">
    <w:name w:val="footer"/>
    <w:link w:val="FooterChar"/>
    <w:rsid w:val="00512D8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12D87"/>
    <w:rPr>
      <w:rFonts w:eastAsia="Times New Roman" w:cs="Times New Roman"/>
      <w:sz w:val="22"/>
      <w:szCs w:val="24"/>
      <w:lang w:eastAsia="en-AU"/>
    </w:rPr>
  </w:style>
  <w:style w:type="character" w:styleId="LineNumber">
    <w:name w:val="line number"/>
    <w:basedOn w:val="OPCCharBase"/>
    <w:uiPriority w:val="99"/>
    <w:unhideWhenUsed/>
    <w:rsid w:val="00512D87"/>
    <w:rPr>
      <w:sz w:val="16"/>
    </w:rPr>
  </w:style>
  <w:style w:type="table" w:customStyle="1" w:styleId="CFlag">
    <w:name w:val="CFlag"/>
    <w:basedOn w:val="TableNormal"/>
    <w:uiPriority w:val="99"/>
    <w:rsid w:val="00512D87"/>
    <w:rPr>
      <w:rFonts w:eastAsia="Times New Roman" w:cs="Times New Roman"/>
      <w:lang w:eastAsia="en-AU"/>
    </w:rPr>
    <w:tblPr/>
  </w:style>
  <w:style w:type="paragraph" w:styleId="BalloonText">
    <w:name w:val="Balloon Text"/>
    <w:basedOn w:val="Normal"/>
    <w:link w:val="BalloonTextChar"/>
    <w:uiPriority w:val="99"/>
    <w:unhideWhenUsed/>
    <w:rsid w:val="00512D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12D87"/>
    <w:rPr>
      <w:rFonts w:ascii="Tahoma" w:hAnsi="Tahoma" w:cs="Tahoma"/>
      <w:sz w:val="16"/>
      <w:szCs w:val="16"/>
    </w:rPr>
  </w:style>
  <w:style w:type="table" w:styleId="TableGrid">
    <w:name w:val="Table Grid"/>
    <w:basedOn w:val="TableNormal"/>
    <w:uiPriority w:val="59"/>
    <w:rsid w:val="00512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12D87"/>
    <w:rPr>
      <w:b/>
      <w:sz w:val="28"/>
      <w:szCs w:val="32"/>
    </w:rPr>
  </w:style>
  <w:style w:type="paragraph" w:customStyle="1" w:styleId="LegislationMadeUnder">
    <w:name w:val="LegislationMadeUnder"/>
    <w:basedOn w:val="OPCParaBase"/>
    <w:next w:val="Normal"/>
    <w:rsid w:val="00512D87"/>
    <w:rPr>
      <w:i/>
      <w:sz w:val="32"/>
      <w:szCs w:val="32"/>
    </w:rPr>
  </w:style>
  <w:style w:type="paragraph" w:customStyle="1" w:styleId="SignCoverPageEnd">
    <w:name w:val="SignCoverPageEnd"/>
    <w:basedOn w:val="OPCParaBase"/>
    <w:next w:val="Normal"/>
    <w:rsid w:val="00512D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12D87"/>
    <w:pPr>
      <w:pBdr>
        <w:top w:val="single" w:sz="4" w:space="1" w:color="auto"/>
      </w:pBdr>
      <w:spacing w:before="360"/>
      <w:ind w:right="397"/>
      <w:jc w:val="both"/>
    </w:pPr>
  </w:style>
  <w:style w:type="paragraph" w:customStyle="1" w:styleId="NotesHeading1">
    <w:name w:val="NotesHeading 1"/>
    <w:basedOn w:val="OPCParaBase"/>
    <w:next w:val="Normal"/>
    <w:rsid w:val="00512D87"/>
    <w:rPr>
      <w:b/>
      <w:sz w:val="28"/>
      <w:szCs w:val="28"/>
    </w:rPr>
  </w:style>
  <w:style w:type="paragraph" w:customStyle="1" w:styleId="NotesHeading2">
    <w:name w:val="NotesHeading 2"/>
    <w:basedOn w:val="OPCParaBase"/>
    <w:next w:val="Normal"/>
    <w:rsid w:val="00512D87"/>
    <w:rPr>
      <w:b/>
      <w:sz w:val="28"/>
      <w:szCs w:val="28"/>
    </w:rPr>
  </w:style>
  <w:style w:type="paragraph" w:customStyle="1" w:styleId="CompiledActNo">
    <w:name w:val="CompiledActNo"/>
    <w:basedOn w:val="OPCParaBase"/>
    <w:next w:val="Normal"/>
    <w:rsid w:val="00512D87"/>
    <w:rPr>
      <w:b/>
      <w:sz w:val="24"/>
      <w:szCs w:val="24"/>
    </w:rPr>
  </w:style>
  <w:style w:type="paragraph" w:customStyle="1" w:styleId="ENotesText">
    <w:name w:val="ENotesText"/>
    <w:aliases w:val="Ent"/>
    <w:basedOn w:val="OPCParaBase"/>
    <w:next w:val="Normal"/>
    <w:rsid w:val="00512D87"/>
    <w:pPr>
      <w:spacing w:before="120"/>
    </w:pPr>
  </w:style>
  <w:style w:type="paragraph" w:customStyle="1" w:styleId="CompiledMadeUnder">
    <w:name w:val="CompiledMadeUnder"/>
    <w:basedOn w:val="OPCParaBase"/>
    <w:next w:val="Normal"/>
    <w:rsid w:val="00512D87"/>
    <w:rPr>
      <w:i/>
      <w:sz w:val="24"/>
      <w:szCs w:val="24"/>
    </w:rPr>
  </w:style>
  <w:style w:type="paragraph" w:customStyle="1" w:styleId="Paragraphsub-sub-sub">
    <w:name w:val="Paragraph(sub-sub-sub)"/>
    <w:aliases w:val="aaaa"/>
    <w:basedOn w:val="OPCParaBase"/>
    <w:rsid w:val="00512D87"/>
    <w:pPr>
      <w:tabs>
        <w:tab w:val="right" w:pos="3402"/>
      </w:tabs>
      <w:spacing w:before="40" w:line="240" w:lineRule="auto"/>
      <w:ind w:left="3402" w:hanging="3402"/>
    </w:pPr>
  </w:style>
  <w:style w:type="paragraph" w:customStyle="1" w:styleId="TableTextEndNotes">
    <w:name w:val="TableTextEndNotes"/>
    <w:aliases w:val="Tten"/>
    <w:basedOn w:val="Normal"/>
    <w:rsid w:val="00512D87"/>
    <w:pPr>
      <w:spacing w:before="60" w:line="240" w:lineRule="auto"/>
    </w:pPr>
    <w:rPr>
      <w:rFonts w:cs="Arial"/>
      <w:sz w:val="20"/>
      <w:szCs w:val="22"/>
    </w:rPr>
  </w:style>
  <w:style w:type="paragraph" w:customStyle="1" w:styleId="NoteToSubpara">
    <w:name w:val="NoteToSubpara"/>
    <w:aliases w:val="nts"/>
    <w:basedOn w:val="OPCParaBase"/>
    <w:rsid w:val="00512D87"/>
    <w:pPr>
      <w:spacing w:before="40" w:line="198" w:lineRule="exact"/>
      <w:ind w:left="2835" w:hanging="709"/>
    </w:pPr>
    <w:rPr>
      <w:sz w:val="18"/>
    </w:rPr>
  </w:style>
  <w:style w:type="paragraph" w:customStyle="1" w:styleId="ENoteTableHeading">
    <w:name w:val="ENoteTableHeading"/>
    <w:aliases w:val="enth"/>
    <w:basedOn w:val="OPCParaBase"/>
    <w:rsid w:val="00512D87"/>
    <w:pPr>
      <w:keepNext/>
      <w:spacing w:before="60" w:line="240" w:lineRule="atLeast"/>
    </w:pPr>
    <w:rPr>
      <w:rFonts w:ascii="Arial" w:hAnsi="Arial"/>
      <w:b/>
      <w:sz w:val="16"/>
    </w:rPr>
  </w:style>
  <w:style w:type="paragraph" w:customStyle="1" w:styleId="ENoteTTi">
    <w:name w:val="ENoteTTi"/>
    <w:aliases w:val="entti"/>
    <w:basedOn w:val="OPCParaBase"/>
    <w:rsid w:val="00512D87"/>
    <w:pPr>
      <w:keepNext/>
      <w:spacing w:before="60" w:line="240" w:lineRule="atLeast"/>
      <w:ind w:left="170"/>
    </w:pPr>
    <w:rPr>
      <w:sz w:val="16"/>
    </w:rPr>
  </w:style>
  <w:style w:type="paragraph" w:customStyle="1" w:styleId="ENotesHeading1">
    <w:name w:val="ENotesHeading 1"/>
    <w:aliases w:val="Enh1"/>
    <w:basedOn w:val="OPCParaBase"/>
    <w:next w:val="Normal"/>
    <w:rsid w:val="00512D87"/>
    <w:pPr>
      <w:spacing w:before="120"/>
      <w:outlineLvl w:val="1"/>
    </w:pPr>
    <w:rPr>
      <w:b/>
      <w:sz w:val="28"/>
      <w:szCs w:val="28"/>
    </w:rPr>
  </w:style>
  <w:style w:type="paragraph" w:customStyle="1" w:styleId="ENotesHeading2">
    <w:name w:val="ENotesHeading 2"/>
    <w:aliases w:val="Enh2"/>
    <w:basedOn w:val="OPCParaBase"/>
    <w:next w:val="Normal"/>
    <w:rsid w:val="00512D87"/>
    <w:pPr>
      <w:spacing w:before="120" w:after="120"/>
      <w:outlineLvl w:val="2"/>
    </w:pPr>
    <w:rPr>
      <w:b/>
      <w:sz w:val="24"/>
      <w:szCs w:val="28"/>
    </w:rPr>
  </w:style>
  <w:style w:type="paragraph" w:customStyle="1" w:styleId="ENoteTTIndentHeading">
    <w:name w:val="ENoteTTIndentHeading"/>
    <w:aliases w:val="enTTHi"/>
    <w:basedOn w:val="OPCParaBase"/>
    <w:rsid w:val="00512D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2D87"/>
    <w:pPr>
      <w:spacing w:before="60" w:line="240" w:lineRule="atLeast"/>
    </w:pPr>
    <w:rPr>
      <w:sz w:val="16"/>
    </w:rPr>
  </w:style>
  <w:style w:type="paragraph" w:customStyle="1" w:styleId="MadeunderText">
    <w:name w:val="MadeunderText"/>
    <w:basedOn w:val="OPCParaBase"/>
    <w:next w:val="Normal"/>
    <w:rsid w:val="00512D87"/>
    <w:pPr>
      <w:spacing w:before="240"/>
    </w:pPr>
    <w:rPr>
      <w:sz w:val="24"/>
      <w:szCs w:val="24"/>
    </w:rPr>
  </w:style>
  <w:style w:type="paragraph" w:customStyle="1" w:styleId="ENotesHeading3">
    <w:name w:val="ENotesHeading 3"/>
    <w:aliases w:val="Enh3"/>
    <w:basedOn w:val="OPCParaBase"/>
    <w:next w:val="Normal"/>
    <w:rsid w:val="00512D87"/>
    <w:pPr>
      <w:keepNext/>
      <w:spacing w:before="120" w:line="240" w:lineRule="auto"/>
      <w:outlineLvl w:val="4"/>
    </w:pPr>
    <w:rPr>
      <w:b/>
      <w:szCs w:val="24"/>
    </w:rPr>
  </w:style>
  <w:style w:type="character" w:customStyle="1" w:styleId="CharSubPartTextCASA">
    <w:name w:val="CharSubPartText(CASA)"/>
    <w:basedOn w:val="OPCCharBase"/>
    <w:uiPriority w:val="1"/>
    <w:rsid w:val="00512D87"/>
  </w:style>
  <w:style w:type="character" w:customStyle="1" w:styleId="CharSubPartNoCASA">
    <w:name w:val="CharSubPartNo(CASA)"/>
    <w:basedOn w:val="OPCCharBase"/>
    <w:uiPriority w:val="1"/>
    <w:rsid w:val="00512D87"/>
  </w:style>
  <w:style w:type="paragraph" w:customStyle="1" w:styleId="ENoteTTIndentHeadingSub">
    <w:name w:val="ENoteTTIndentHeadingSub"/>
    <w:aliases w:val="enTTHis"/>
    <w:basedOn w:val="OPCParaBase"/>
    <w:rsid w:val="00512D87"/>
    <w:pPr>
      <w:keepNext/>
      <w:spacing w:before="60" w:line="240" w:lineRule="atLeast"/>
      <w:ind w:left="340"/>
    </w:pPr>
    <w:rPr>
      <w:b/>
      <w:sz w:val="16"/>
    </w:rPr>
  </w:style>
  <w:style w:type="paragraph" w:customStyle="1" w:styleId="ENoteTTiSub">
    <w:name w:val="ENoteTTiSub"/>
    <w:aliases w:val="enttis"/>
    <w:basedOn w:val="OPCParaBase"/>
    <w:rsid w:val="00512D87"/>
    <w:pPr>
      <w:keepNext/>
      <w:spacing w:before="60" w:line="240" w:lineRule="atLeast"/>
      <w:ind w:left="340"/>
    </w:pPr>
    <w:rPr>
      <w:sz w:val="16"/>
    </w:rPr>
  </w:style>
  <w:style w:type="paragraph" w:customStyle="1" w:styleId="SubDivisionMigration">
    <w:name w:val="SubDivisionMigration"/>
    <w:aliases w:val="sdm"/>
    <w:basedOn w:val="OPCParaBase"/>
    <w:rsid w:val="00512D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2D8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12D87"/>
    <w:pPr>
      <w:spacing w:before="122" w:line="240" w:lineRule="auto"/>
      <w:ind w:left="1985" w:hanging="851"/>
    </w:pPr>
    <w:rPr>
      <w:sz w:val="18"/>
    </w:rPr>
  </w:style>
  <w:style w:type="paragraph" w:customStyle="1" w:styleId="FreeForm">
    <w:name w:val="FreeForm"/>
    <w:rsid w:val="00512D87"/>
    <w:rPr>
      <w:rFonts w:ascii="Arial" w:hAnsi="Arial"/>
      <w:sz w:val="22"/>
    </w:rPr>
  </w:style>
  <w:style w:type="paragraph" w:customStyle="1" w:styleId="SOText">
    <w:name w:val="SO Text"/>
    <w:aliases w:val="sot"/>
    <w:link w:val="SOTextChar"/>
    <w:rsid w:val="00512D8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12D87"/>
    <w:rPr>
      <w:sz w:val="22"/>
    </w:rPr>
  </w:style>
  <w:style w:type="paragraph" w:customStyle="1" w:styleId="SOTextNote">
    <w:name w:val="SO TextNote"/>
    <w:aliases w:val="sont"/>
    <w:basedOn w:val="SOText"/>
    <w:qFormat/>
    <w:rsid w:val="00512D87"/>
    <w:pPr>
      <w:spacing w:before="122" w:line="198" w:lineRule="exact"/>
      <w:ind w:left="1843" w:hanging="709"/>
    </w:pPr>
    <w:rPr>
      <w:sz w:val="18"/>
    </w:rPr>
  </w:style>
  <w:style w:type="paragraph" w:customStyle="1" w:styleId="SOPara">
    <w:name w:val="SO Para"/>
    <w:aliases w:val="soa"/>
    <w:basedOn w:val="SOText"/>
    <w:link w:val="SOParaChar"/>
    <w:qFormat/>
    <w:rsid w:val="00512D87"/>
    <w:pPr>
      <w:tabs>
        <w:tab w:val="right" w:pos="1786"/>
      </w:tabs>
      <w:spacing w:before="40"/>
      <w:ind w:left="2070" w:hanging="936"/>
    </w:pPr>
  </w:style>
  <w:style w:type="character" w:customStyle="1" w:styleId="SOParaChar">
    <w:name w:val="SO Para Char"/>
    <w:aliases w:val="soa Char"/>
    <w:basedOn w:val="DefaultParagraphFont"/>
    <w:link w:val="SOPara"/>
    <w:rsid w:val="00512D87"/>
    <w:rPr>
      <w:sz w:val="22"/>
    </w:rPr>
  </w:style>
  <w:style w:type="paragraph" w:customStyle="1" w:styleId="FileName">
    <w:name w:val="FileName"/>
    <w:basedOn w:val="Normal"/>
    <w:rsid w:val="00512D87"/>
  </w:style>
  <w:style w:type="paragraph" w:customStyle="1" w:styleId="TableHeading">
    <w:name w:val="TableHeading"/>
    <w:aliases w:val="th"/>
    <w:basedOn w:val="OPCParaBase"/>
    <w:next w:val="Tabletext"/>
    <w:rsid w:val="00512D87"/>
    <w:pPr>
      <w:keepNext/>
      <w:spacing w:before="60" w:line="240" w:lineRule="atLeast"/>
    </w:pPr>
    <w:rPr>
      <w:b/>
      <w:sz w:val="20"/>
    </w:rPr>
  </w:style>
  <w:style w:type="paragraph" w:customStyle="1" w:styleId="SOHeadBold">
    <w:name w:val="SO HeadBold"/>
    <w:aliases w:val="sohb"/>
    <w:basedOn w:val="SOText"/>
    <w:next w:val="SOText"/>
    <w:link w:val="SOHeadBoldChar"/>
    <w:qFormat/>
    <w:rsid w:val="00512D87"/>
    <w:rPr>
      <w:b/>
    </w:rPr>
  </w:style>
  <w:style w:type="character" w:customStyle="1" w:styleId="SOHeadBoldChar">
    <w:name w:val="SO HeadBold Char"/>
    <w:aliases w:val="sohb Char"/>
    <w:basedOn w:val="DefaultParagraphFont"/>
    <w:link w:val="SOHeadBold"/>
    <w:rsid w:val="00512D87"/>
    <w:rPr>
      <w:b/>
      <w:sz w:val="22"/>
    </w:rPr>
  </w:style>
  <w:style w:type="paragraph" w:customStyle="1" w:styleId="SOHeadItalic">
    <w:name w:val="SO HeadItalic"/>
    <w:aliases w:val="sohi"/>
    <w:basedOn w:val="SOText"/>
    <w:next w:val="SOText"/>
    <w:link w:val="SOHeadItalicChar"/>
    <w:qFormat/>
    <w:rsid w:val="00512D87"/>
    <w:rPr>
      <w:i/>
    </w:rPr>
  </w:style>
  <w:style w:type="character" w:customStyle="1" w:styleId="SOHeadItalicChar">
    <w:name w:val="SO HeadItalic Char"/>
    <w:aliases w:val="sohi Char"/>
    <w:basedOn w:val="DefaultParagraphFont"/>
    <w:link w:val="SOHeadItalic"/>
    <w:rsid w:val="00512D87"/>
    <w:rPr>
      <w:i/>
      <w:sz w:val="22"/>
    </w:rPr>
  </w:style>
  <w:style w:type="paragraph" w:customStyle="1" w:styleId="SOBullet">
    <w:name w:val="SO Bullet"/>
    <w:aliases w:val="sotb"/>
    <w:basedOn w:val="SOText"/>
    <w:link w:val="SOBulletChar"/>
    <w:qFormat/>
    <w:rsid w:val="00512D87"/>
    <w:pPr>
      <w:ind w:left="1559" w:hanging="425"/>
    </w:pPr>
  </w:style>
  <w:style w:type="character" w:customStyle="1" w:styleId="SOBulletChar">
    <w:name w:val="SO Bullet Char"/>
    <w:aliases w:val="sotb Char"/>
    <w:basedOn w:val="DefaultParagraphFont"/>
    <w:link w:val="SOBullet"/>
    <w:rsid w:val="00512D87"/>
    <w:rPr>
      <w:sz w:val="22"/>
    </w:rPr>
  </w:style>
  <w:style w:type="paragraph" w:customStyle="1" w:styleId="SOBulletNote">
    <w:name w:val="SO BulletNote"/>
    <w:aliases w:val="sonb"/>
    <w:basedOn w:val="SOTextNote"/>
    <w:link w:val="SOBulletNoteChar"/>
    <w:qFormat/>
    <w:rsid w:val="00512D87"/>
    <w:pPr>
      <w:tabs>
        <w:tab w:val="left" w:pos="1560"/>
      </w:tabs>
      <w:ind w:left="2268" w:hanging="1134"/>
    </w:pPr>
  </w:style>
  <w:style w:type="character" w:customStyle="1" w:styleId="SOBulletNoteChar">
    <w:name w:val="SO BulletNote Char"/>
    <w:aliases w:val="sonb Char"/>
    <w:basedOn w:val="DefaultParagraphFont"/>
    <w:link w:val="SOBulletNote"/>
    <w:rsid w:val="00512D87"/>
    <w:rPr>
      <w:sz w:val="18"/>
    </w:rPr>
  </w:style>
  <w:style w:type="paragraph" w:customStyle="1" w:styleId="SOText2">
    <w:name w:val="SO Text2"/>
    <w:aliases w:val="sot2"/>
    <w:basedOn w:val="Normal"/>
    <w:next w:val="SOText"/>
    <w:link w:val="SOText2Char"/>
    <w:rsid w:val="00512D8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12D87"/>
    <w:rPr>
      <w:sz w:val="22"/>
    </w:rPr>
  </w:style>
  <w:style w:type="paragraph" w:customStyle="1" w:styleId="SubPartCASA">
    <w:name w:val="SubPart(CASA)"/>
    <w:aliases w:val="csp"/>
    <w:basedOn w:val="OPCParaBase"/>
    <w:next w:val="ActHead3"/>
    <w:rsid w:val="00512D8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12D87"/>
    <w:rPr>
      <w:rFonts w:eastAsia="Times New Roman" w:cs="Times New Roman"/>
      <w:sz w:val="22"/>
      <w:lang w:eastAsia="en-AU"/>
    </w:rPr>
  </w:style>
  <w:style w:type="character" w:customStyle="1" w:styleId="notetextChar">
    <w:name w:val="note(text) Char"/>
    <w:aliases w:val="n Char"/>
    <w:basedOn w:val="DefaultParagraphFont"/>
    <w:link w:val="notetext"/>
    <w:rsid w:val="00512D87"/>
    <w:rPr>
      <w:rFonts w:eastAsia="Times New Roman" w:cs="Times New Roman"/>
      <w:sz w:val="18"/>
      <w:lang w:eastAsia="en-AU"/>
    </w:rPr>
  </w:style>
  <w:style w:type="character" w:customStyle="1" w:styleId="Heading1Char">
    <w:name w:val="Heading 1 Char"/>
    <w:basedOn w:val="DefaultParagraphFont"/>
    <w:link w:val="Heading1"/>
    <w:uiPriority w:val="9"/>
    <w:rsid w:val="00512D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2D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12D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12D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12D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12D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12D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12D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12D87"/>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512D87"/>
    <w:rPr>
      <w:rFonts w:ascii="Arial" w:hAnsi="Arial" w:cs="Arial" w:hint="default"/>
      <w:b/>
      <w:bCs/>
      <w:sz w:val="28"/>
      <w:szCs w:val="28"/>
    </w:rPr>
  </w:style>
  <w:style w:type="paragraph" w:styleId="Index1">
    <w:name w:val="index 1"/>
    <w:basedOn w:val="Normal"/>
    <w:next w:val="Normal"/>
    <w:autoRedefine/>
    <w:rsid w:val="00512D87"/>
    <w:pPr>
      <w:ind w:left="240" w:hanging="240"/>
    </w:pPr>
  </w:style>
  <w:style w:type="paragraph" w:styleId="Index2">
    <w:name w:val="index 2"/>
    <w:basedOn w:val="Normal"/>
    <w:next w:val="Normal"/>
    <w:autoRedefine/>
    <w:rsid w:val="00512D87"/>
    <w:pPr>
      <w:ind w:left="480" w:hanging="240"/>
    </w:pPr>
  </w:style>
  <w:style w:type="paragraph" w:styleId="Index3">
    <w:name w:val="index 3"/>
    <w:basedOn w:val="Normal"/>
    <w:next w:val="Normal"/>
    <w:autoRedefine/>
    <w:rsid w:val="00512D87"/>
    <w:pPr>
      <w:ind w:left="720" w:hanging="240"/>
    </w:pPr>
  </w:style>
  <w:style w:type="paragraph" w:styleId="Index4">
    <w:name w:val="index 4"/>
    <w:basedOn w:val="Normal"/>
    <w:next w:val="Normal"/>
    <w:autoRedefine/>
    <w:rsid w:val="00512D87"/>
    <w:pPr>
      <w:ind w:left="960" w:hanging="240"/>
    </w:pPr>
  </w:style>
  <w:style w:type="paragraph" w:styleId="Index5">
    <w:name w:val="index 5"/>
    <w:basedOn w:val="Normal"/>
    <w:next w:val="Normal"/>
    <w:autoRedefine/>
    <w:rsid w:val="00512D87"/>
    <w:pPr>
      <w:ind w:left="1200" w:hanging="240"/>
    </w:pPr>
  </w:style>
  <w:style w:type="paragraph" w:styleId="Index6">
    <w:name w:val="index 6"/>
    <w:basedOn w:val="Normal"/>
    <w:next w:val="Normal"/>
    <w:autoRedefine/>
    <w:rsid w:val="00512D87"/>
    <w:pPr>
      <w:ind w:left="1440" w:hanging="240"/>
    </w:pPr>
  </w:style>
  <w:style w:type="paragraph" w:styleId="Index7">
    <w:name w:val="index 7"/>
    <w:basedOn w:val="Normal"/>
    <w:next w:val="Normal"/>
    <w:autoRedefine/>
    <w:rsid w:val="00512D87"/>
    <w:pPr>
      <w:ind w:left="1680" w:hanging="240"/>
    </w:pPr>
  </w:style>
  <w:style w:type="paragraph" w:styleId="Index8">
    <w:name w:val="index 8"/>
    <w:basedOn w:val="Normal"/>
    <w:next w:val="Normal"/>
    <w:autoRedefine/>
    <w:rsid w:val="00512D87"/>
    <w:pPr>
      <w:ind w:left="1920" w:hanging="240"/>
    </w:pPr>
  </w:style>
  <w:style w:type="paragraph" w:styleId="Index9">
    <w:name w:val="index 9"/>
    <w:basedOn w:val="Normal"/>
    <w:next w:val="Normal"/>
    <w:autoRedefine/>
    <w:rsid w:val="00512D87"/>
    <w:pPr>
      <w:ind w:left="2160" w:hanging="240"/>
    </w:pPr>
  </w:style>
  <w:style w:type="paragraph" w:styleId="NormalIndent">
    <w:name w:val="Normal Indent"/>
    <w:basedOn w:val="Normal"/>
    <w:rsid w:val="00512D87"/>
    <w:pPr>
      <w:ind w:left="720"/>
    </w:pPr>
  </w:style>
  <w:style w:type="paragraph" w:styleId="FootnoteText">
    <w:name w:val="footnote text"/>
    <w:basedOn w:val="Normal"/>
    <w:link w:val="FootnoteTextChar"/>
    <w:rsid w:val="00512D87"/>
    <w:rPr>
      <w:sz w:val="20"/>
    </w:rPr>
  </w:style>
  <w:style w:type="character" w:customStyle="1" w:styleId="FootnoteTextChar">
    <w:name w:val="Footnote Text Char"/>
    <w:basedOn w:val="DefaultParagraphFont"/>
    <w:link w:val="FootnoteText"/>
    <w:rsid w:val="00512D87"/>
  </w:style>
  <w:style w:type="paragraph" w:styleId="CommentText">
    <w:name w:val="annotation text"/>
    <w:basedOn w:val="Normal"/>
    <w:link w:val="CommentTextChar"/>
    <w:rsid w:val="00512D87"/>
    <w:rPr>
      <w:sz w:val="20"/>
    </w:rPr>
  </w:style>
  <w:style w:type="character" w:customStyle="1" w:styleId="CommentTextChar">
    <w:name w:val="Comment Text Char"/>
    <w:basedOn w:val="DefaultParagraphFont"/>
    <w:link w:val="CommentText"/>
    <w:rsid w:val="00512D87"/>
  </w:style>
  <w:style w:type="paragraph" w:styleId="IndexHeading">
    <w:name w:val="index heading"/>
    <w:basedOn w:val="Normal"/>
    <w:next w:val="Index1"/>
    <w:rsid w:val="00512D87"/>
    <w:rPr>
      <w:rFonts w:ascii="Arial" w:hAnsi="Arial" w:cs="Arial"/>
      <w:b/>
      <w:bCs/>
    </w:rPr>
  </w:style>
  <w:style w:type="paragraph" w:styleId="Caption">
    <w:name w:val="caption"/>
    <w:basedOn w:val="Normal"/>
    <w:next w:val="Normal"/>
    <w:qFormat/>
    <w:rsid w:val="00512D87"/>
    <w:pPr>
      <w:spacing w:before="120" w:after="120"/>
    </w:pPr>
    <w:rPr>
      <w:b/>
      <w:bCs/>
      <w:sz w:val="20"/>
    </w:rPr>
  </w:style>
  <w:style w:type="paragraph" w:styleId="TableofFigures">
    <w:name w:val="table of figures"/>
    <w:basedOn w:val="Normal"/>
    <w:next w:val="Normal"/>
    <w:rsid w:val="00512D87"/>
    <w:pPr>
      <w:ind w:left="480" w:hanging="480"/>
    </w:pPr>
  </w:style>
  <w:style w:type="paragraph" w:styleId="EnvelopeAddress">
    <w:name w:val="envelope address"/>
    <w:basedOn w:val="Normal"/>
    <w:rsid w:val="00512D8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12D87"/>
    <w:rPr>
      <w:rFonts w:ascii="Arial" w:hAnsi="Arial" w:cs="Arial"/>
      <w:sz w:val="20"/>
    </w:rPr>
  </w:style>
  <w:style w:type="character" w:styleId="FootnoteReference">
    <w:name w:val="footnote reference"/>
    <w:basedOn w:val="DefaultParagraphFont"/>
    <w:rsid w:val="00512D87"/>
    <w:rPr>
      <w:rFonts w:ascii="Times New Roman" w:hAnsi="Times New Roman"/>
      <w:sz w:val="20"/>
      <w:vertAlign w:val="superscript"/>
    </w:rPr>
  </w:style>
  <w:style w:type="character" w:styleId="CommentReference">
    <w:name w:val="annotation reference"/>
    <w:basedOn w:val="DefaultParagraphFont"/>
    <w:rsid w:val="00512D87"/>
    <w:rPr>
      <w:sz w:val="16"/>
      <w:szCs w:val="16"/>
    </w:rPr>
  </w:style>
  <w:style w:type="character" w:styleId="PageNumber">
    <w:name w:val="page number"/>
    <w:basedOn w:val="DefaultParagraphFont"/>
    <w:rsid w:val="00512D87"/>
  </w:style>
  <w:style w:type="character" w:styleId="EndnoteReference">
    <w:name w:val="endnote reference"/>
    <w:basedOn w:val="DefaultParagraphFont"/>
    <w:rsid w:val="00512D87"/>
    <w:rPr>
      <w:vertAlign w:val="superscript"/>
    </w:rPr>
  </w:style>
  <w:style w:type="paragraph" w:styleId="EndnoteText">
    <w:name w:val="endnote text"/>
    <w:basedOn w:val="Normal"/>
    <w:link w:val="EndnoteTextChar"/>
    <w:rsid w:val="00512D87"/>
    <w:rPr>
      <w:sz w:val="20"/>
    </w:rPr>
  </w:style>
  <w:style w:type="character" w:customStyle="1" w:styleId="EndnoteTextChar">
    <w:name w:val="Endnote Text Char"/>
    <w:basedOn w:val="DefaultParagraphFont"/>
    <w:link w:val="EndnoteText"/>
    <w:rsid w:val="00512D87"/>
  </w:style>
  <w:style w:type="paragraph" w:styleId="TableofAuthorities">
    <w:name w:val="table of authorities"/>
    <w:basedOn w:val="Normal"/>
    <w:next w:val="Normal"/>
    <w:rsid w:val="00512D87"/>
    <w:pPr>
      <w:ind w:left="240" w:hanging="240"/>
    </w:pPr>
  </w:style>
  <w:style w:type="paragraph" w:styleId="MacroText">
    <w:name w:val="macro"/>
    <w:link w:val="MacroTextChar"/>
    <w:rsid w:val="00512D8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12D87"/>
    <w:rPr>
      <w:rFonts w:ascii="Courier New" w:eastAsia="Times New Roman" w:hAnsi="Courier New" w:cs="Courier New"/>
      <w:lang w:eastAsia="en-AU"/>
    </w:rPr>
  </w:style>
  <w:style w:type="paragraph" w:styleId="TOAHeading">
    <w:name w:val="toa heading"/>
    <w:basedOn w:val="Normal"/>
    <w:next w:val="Normal"/>
    <w:rsid w:val="00512D87"/>
    <w:pPr>
      <w:spacing w:before="120"/>
    </w:pPr>
    <w:rPr>
      <w:rFonts w:ascii="Arial" w:hAnsi="Arial" w:cs="Arial"/>
      <w:b/>
      <w:bCs/>
    </w:rPr>
  </w:style>
  <w:style w:type="paragraph" w:styleId="List">
    <w:name w:val="List"/>
    <w:basedOn w:val="Normal"/>
    <w:rsid w:val="00512D87"/>
    <w:pPr>
      <w:ind w:left="283" w:hanging="283"/>
    </w:pPr>
  </w:style>
  <w:style w:type="paragraph" w:styleId="ListBullet">
    <w:name w:val="List Bullet"/>
    <w:basedOn w:val="Normal"/>
    <w:autoRedefine/>
    <w:rsid w:val="00512D87"/>
    <w:pPr>
      <w:tabs>
        <w:tab w:val="num" w:pos="360"/>
      </w:tabs>
      <w:ind w:left="360" w:hanging="360"/>
    </w:pPr>
  </w:style>
  <w:style w:type="paragraph" w:styleId="ListNumber">
    <w:name w:val="List Number"/>
    <w:basedOn w:val="Normal"/>
    <w:rsid w:val="00512D87"/>
    <w:pPr>
      <w:tabs>
        <w:tab w:val="num" w:pos="360"/>
      </w:tabs>
      <w:ind w:left="360" w:hanging="360"/>
    </w:pPr>
  </w:style>
  <w:style w:type="paragraph" w:styleId="List2">
    <w:name w:val="List 2"/>
    <w:basedOn w:val="Normal"/>
    <w:rsid w:val="00512D87"/>
    <w:pPr>
      <w:ind w:left="566" w:hanging="283"/>
    </w:pPr>
  </w:style>
  <w:style w:type="paragraph" w:styleId="List3">
    <w:name w:val="List 3"/>
    <w:basedOn w:val="Normal"/>
    <w:rsid w:val="00512D87"/>
    <w:pPr>
      <w:ind w:left="849" w:hanging="283"/>
    </w:pPr>
  </w:style>
  <w:style w:type="paragraph" w:styleId="List4">
    <w:name w:val="List 4"/>
    <w:basedOn w:val="Normal"/>
    <w:rsid w:val="00512D87"/>
    <w:pPr>
      <w:ind w:left="1132" w:hanging="283"/>
    </w:pPr>
  </w:style>
  <w:style w:type="paragraph" w:styleId="List5">
    <w:name w:val="List 5"/>
    <w:basedOn w:val="Normal"/>
    <w:rsid w:val="00512D87"/>
    <w:pPr>
      <w:ind w:left="1415" w:hanging="283"/>
    </w:pPr>
  </w:style>
  <w:style w:type="paragraph" w:styleId="ListBullet2">
    <w:name w:val="List Bullet 2"/>
    <w:basedOn w:val="Normal"/>
    <w:autoRedefine/>
    <w:rsid w:val="00512D87"/>
    <w:pPr>
      <w:tabs>
        <w:tab w:val="num" w:pos="360"/>
      </w:tabs>
    </w:pPr>
  </w:style>
  <w:style w:type="paragraph" w:styleId="ListBullet3">
    <w:name w:val="List Bullet 3"/>
    <w:basedOn w:val="Normal"/>
    <w:autoRedefine/>
    <w:rsid w:val="00512D87"/>
    <w:pPr>
      <w:tabs>
        <w:tab w:val="num" w:pos="926"/>
      </w:tabs>
      <w:ind w:left="926" w:hanging="360"/>
    </w:pPr>
  </w:style>
  <w:style w:type="paragraph" w:styleId="ListBullet4">
    <w:name w:val="List Bullet 4"/>
    <w:basedOn w:val="Normal"/>
    <w:autoRedefine/>
    <w:rsid w:val="00512D87"/>
    <w:pPr>
      <w:tabs>
        <w:tab w:val="num" w:pos="1209"/>
      </w:tabs>
      <w:ind w:left="1209" w:hanging="360"/>
    </w:pPr>
  </w:style>
  <w:style w:type="paragraph" w:styleId="ListBullet5">
    <w:name w:val="List Bullet 5"/>
    <w:basedOn w:val="Normal"/>
    <w:autoRedefine/>
    <w:rsid w:val="00512D87"/>
    <w:pPr>
      <w:tabs>
        <w:tab w:val="num" w:pos="1492"/>
      </w:tabs>
      <w:ind w:left="1492" w:hanging="360"/>
    </w:pPr>
  </w:style>
  <w:style w:type="paragraph" w:styleId="ListNumber2">
    <w:name w:val="List Number 2"/>
    <w:basedOn w:val="Normal"/>
    <w:rsid w:val="00512D87"/>
    <w:pPr>
      <w:tabs>
        <w:tab w:val="num" w:pos="643"/>
      </w:tabs>
      <w:ind w:left="643" w:hanging="360"/>
    </w:pPr>
  </w:style>
  <w:style w:type="paragraph" w:styleId="ListNumber3">
    <w:name w:val="List Number 3"/>
    <w:basedOn w:val="Normal"/>
    <w:rsid w:val="00512D87"/>
    <w:pPr>
      <w:tabs>
        <w:tab w:val="num" w:pos="926"/>
      </w:tabs>
      <w:ind w:left="926" w:hanging="360"/>
    </w:pPr>
  </w:style>
  <w:style w:type="paragraph" w:styleId="ListNumber4">
    <w:name w:val="List Number 4"/>
    <w:basedOn w:val="Normal"/>
    <w:rsid w:val="00512D87"/>
    <w:pPr>
      <w:tabs>
        <w:tab w:val="num" w:pos="1209"/>
      </w:tabs>
      <w:ind w:left="1209" w:hanging="360"/>
    </w:pPr>
  </w:style>
  <w:style w:type="paragraph" w:styleId="ListNumber5">
    <w:name w:val="List Number 5"/>
    <w:basedOn w:val="Normal"/>
    <w:rsid w:val="00512D87"/>
    <w:pPr>
      <w:tabs>
        <w:tab w:val="num" w:pos="1492"/>
      </w:tabs>
      <w:ind w:left="1492" w:hanging="360"/>
    </w:pPr>
  </w:style>
  <w:style w:type="paragraph" w:styleId="Title">
    <w:name w:val="Title"/>
    <w:basedOn w:val="Normal"/>
    <w:link w:val="TitleChar"/>
    <w:qFormat/>
    <w:rsid w:val="00512D87"/>
    <w:pPr>
      <w:spacing w:before="240" w:after="60"/>
    </w:pPr>
    <w:rPr>
      <w:rFonts w:ascii="Arial" w:hAnsi="Arial" w:cs="Arial"/>
      <w:b/>
      <w:bCs/>
      <w:sz w:val="40"/>
      <w:szCs w:val="40"/>
    </w:rPr>
  </w:style>
  <w:style w:type="character" w:customStyle="1" w:styleId="TitleChar">
    <w:name w:val="Title Char"/>
    <w:basedOn w:val="DefaultParagraphFont"/>
    <w:link w:val="Title"/>
    <w:rsid w:val="00512D87"/>
    <w:rPr>
      <w:rFonts w:ascii="Arial" w:hAnsi="Arial" w:cs="Arial"/>
      <w:b/>
      <w:bCs/>
      <w:sz w:val="40"/>
      <w:szCs w:val="40"/>
    </w:rPr>
  </w:style>
  <w:style w:type="paragraph" w:styleId="Closing">
    <w:name w:val="Closing"/>
    <w:basedOn w:val="Normal"/>
    <w:link w:val="ClosingChar"/>
    <w:rsid w:val="00512D87"/>
    <w:pPr>
      <w:ind w:left="4252"/>
    </w:pPr>
  </w:style>
  <w:style w:type="character" w:customStyle="1" w:styleId="ClosingChar">
    <w:name w:val="Closing Char"/>
    <w:basedOn w:val="DefaultParagraphFont"/>
    <w:link w:val="Closing"/>
    <w:rsid w:val="00512D87"/>
    <w:rPr>
      <w:sz w:val="22"/>
    </w:rPr>
  </w:style>
  <w:style w:type="paragraph" w:styleId="Signature">
    <w:name w:val="Signature"/>
    <w:basedOn w:val="Normal"/>
    <w:link w:val="SignatureChar"/>
    <w:rsid w:val="00512D87"/>
    <w:pPr>
      <w:ind w:left="4252"/>
    </w:pPr>
  </w:style>
  <w:style w:type="character" w:customStyle="1" w:styleId="SignatureChar">
    <w:name w:val="Signature Char"/>
    <w:basedOn w:val="DefaultParagraphFont"/>
    <w:link w:val="Signature"/>
    <w:rsid w:val="00512D87"/>
    <w:rPr>
      <w:sz w:val="22"/>
    </w:rPr>
  </w:style>
  <w:style w:type="paragraph" w:styleId="BodyText">
    <w:name w:val="Body Text"/>
    <w:basedOn w:val="Normal"/>
    <w:link w:val="BodyTextChar"/>
    <w:rsid w:val="00512D87"/>
    <w:pPr>
      <w:spacing w:after="120"/>
    </w:pPr>
  </w:style>
  <w:style w:type="character" w:customStyle="1" w:styleId="BodyTextChar">
    <w:name w:val="Body Text Char"/>
    <w:basedOn w:val="DefaultParagraphFont"/>
    <w:link w:val="BodyText"/>
    <w:rsid w:val="00512D87"/>
    <w:rPr>
      <w:sz w:val="22"/>
    </w:rPr>
  </w:style>
  <w:style w:type="paragraph" w:styleId="BodyTextIndent">
    <w:name w:val="Body Text Indent"/>
    <w:basedOn w:val="Normal"/>
    <w:link w:val="BodyTextIndentChar"/>
    <w:rsid w:val="00512D87"/>
    <w:pPr>
      <w:spacing w:after="120"/>
      <w:ind w:left="283"/>
    </w:pPr>
  </w:style>
  <w:style w:type="character" w:customStyle="1" w:styleId="BodyTextIndentChar">
    <w:name w:val="Body Text Indent Char"/>
    <w:basedOn w:val="DefaultParagraphFont"/>
    <w:link w:val="BodyTextIndent"/>
    <w:rsid w:val="00512D87"/>
    <w:rPr>
      <w:sz w:val="22"/>
    </w:rPr>
  </w:style>
  <w:style w:type="paragraph" w:styleId="ListContinue">
    <w:name w:val="List Continue"/>
    <w:basedOn w:val="Normal"/>
    <w:rsid w:val="00512D87"/>
    <w:pPr>
      <w:spacing w:after="120"/>
      <w:ind w:left="283"/>
    </w:pPr>
  </w:style>
  <w:style w:type="paragraph" w:styleId="ListContinue2">
    <w:name w:val="List Continue 2"/>
    <w:basedOn w:val="Normal"/>
    <w:rsid w:val="00512D87"/>
    <w:pPr>
      <w:spacing w:after="120"/>
      <w:ind w:left="566"/>
    </w:pPr>
  </w:style>
  <w:style w:type="paragraph" w:styleId="ListContinue3">
    <w:name w:val="List Continue 3"/>
    <w:basedOn w:val="Normal"/>
    <w:rsid w:val="00512D87"/>
    <w:pPr>
      <w:spacing w:after="120"/>
      <w:ind w:left="849"/>
    </w:pPr>
  </w:style>
  <w:style w:type="paragraph" w:styleId="ListContinue4">
    <w:name w:val="List Continue 4"/>
    <w:basedOn w:val="Normal"/>
    <w:rsid w:val="00512D87"/>
    <w:pPr>
      <w:spacing w:after="120"/>
      <w:ind w:left="1132"/>
    </w:pPr>
  </w:style>
  <w:style w:type="paragraph" w:styleId="ListContinue5">
    <w:name w:val="List Continue 5"/>
    <w:basedOn w:val="Normal"/>
    <w:rsid w:val="00512D87"/>
    <w:pPr>
      <w:spacing w:after="120"/>
      <w:ind w:left="1415"/>
    </w:pPr>
  </w:style>
  <w:style w:type="paragraph" w:styleId="MessageHeader">
    <w:name w:val="Message Header"/>
    <w:basedOn w:val="Normal"/>
    <w:link w:val="MessageHeaderChar"/>
    <w:rsid w:val="00512D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12D87"/>
    <w:rPr>
      <w:rFonts w:ascii="Arial" w:hAnsi="Arial" w:cs="Arial"/>
      <w:sz w:val="22"/>
      <w:shd w:val="pct20" w:color="auto" w:fill="auto"/>
    </w:rPr>
  </w:style>
  <w:style w:type="paragraph" w:styleId="Subtitle">
    <w:name w:val="Subtitle"/>
    <w:basedOn w:val="Normal"/>
    <w:link w:val="SubtitleChar"/>
    <w:qFormat/>
    <w:rsid w:val="00512D87"/>
    <w:pPr>
      <w:spacing w:after="60"/>
      <w:jc w:val="center"/>
      <w:outlineLvl w:val="1"/>
    </w:pPr>
    <w:rPr>
      <w:rFonts w:ascii="Arial" w:hAnsi="Arial" w:cs="Arial"/>
    </w:rPr>
  </w:style>
  <w:style w:type="character" w:customStyle="1" w:styleId="SubtitleChar">
    <w:name w:val="Subtitle Char"/>
    <w:basedOn w:val="DefaultParagraphFont"/>
    <w:link w:val="Subtitle"/>
    <w:rsid w:val="00512D87"/>
    <w:rPr>
      <w:rFonts w:ascii="Arial" w:hAnsi="Arial" w:cs="Arial"/>
      <w:sz w:val="22"/>
    </w:rPr>
  </w:style>
  <w:style w:type="paragraph" w:styleId="Salutation">
    <w:name w:val="Salutation"/>
    <w:basedOn w:val="Normal"/>
    <w:next w:val="Normal"/>
    <w:link w:val="SalutationChar"/>
    <w:rsid w:val="00512D87"/>
  </w:style>
  <w:style w:type="character" w:customStyle="1" w:styleId="SalutationChar">
    <w:name w:val="Salutation Char"/>
    <w:basedOn w:val="DefaultParagraphFont"/>
    <w:link w:val="Salutation"/>
    <w:rsid w:val="00512D87"/>
    <w:rPr>
      <w:sz w:val="22"/>
    </w:rPr>
  </w:style>
  <w:style w:type="paragraph" w:styleId="Date">
    <w:name w:val="Date"/>
    <w:basedOn w:val="Normal"/>
    <w:next w:val="Normal"/>
    <w:link w:val="DateChar"/>
    <w:rsid w:val="00512D87"/>
  </w:style>
  <w:style w:type="character" w:customStyle="1" w:styleId="DateChar">
    <w:name w:val="Date Char"/>
    <w:basedOn w:val="DefaultParagraphFont"/>
    <w:link w:val="Date"/>
    <w:rsid w:val="00512D87"/>
    <w:rPr>
      <w:sz w:val="22"/>
    </w:rPr>
  </w:style>
  <w:style w:type="paragraph" w:styleId="BodyTextFirstIndent">
    <w:name w:val="Body Text First Indent"/>
    <w:basedOn w:val="BodyText"/>
    <w:link w:val="BodyTextFirstIndentChar"/>
    <w:rsid w:val="00512D87"/>
    <w:pPr>
      <w:ind w:firstLine="210"/>
    </w:pPr>
  </w:style>
  <w:style w:type="character" w:customStyle="1" w:styleId="BodyTextFirstIndentChar">
    <w:name w:val="Body Text First Indent Char"/>
    <w:basedOn w:val="BodyTextChar"/>
    <w:link w:val="BodyTextFirstIndent"/>
    <w:rsid w:val="00512D87"/>
    <w:rPr>
      <w:sz w:val="22"/>
    </w:rPr>
  </w:style>
  <w:style w:type="paragraph" w:styleId="BodyTextFirstIndent2">
    <w:name w:val="Body Text First Indent 2"/>
    <w:basedOn w:val="BodyTextIndent"/>
    <w:link w:val="BodyTextFirstIndent2Char"/>
    <w:rsid w:val="00512D87"/>
    <w:pPr>
      <w:ind w:firstLine="210"/>
    </w:pPr>
  </w:style>
  <w:style w:type="character" w:customStyle="1" w:styleId="BodyTextFirstIndent2Char">
    <w:name w:val="Body Text First Indent 2 Char"/>
    <w:basedOn w:val="BodyTextIndentChar"/>
    <w:link w:val="BodyTextFirstIndent2"/>
    <w:rsid w:val="00512D87"/>
    <w:rPr>
      <w:sz w:val="22"/>
    </w:rPr>
  </w:style>
  <w:style w:type="paragraph" w:styleId="BodyText2">
    <w:name w:val="Body Text 2"/>
    <w:basedOn w:val="Normal"/>
    <w:link w:val="BodyText2Char"/>
    <w:rsid w:val="00512D87"/>
    <w:pPr>
      <w:spacing w:after="120" w:line="480" w:lineRule="auto"/>
    </w:pPr>
  </w:style>
  <w:style w:type="character" w:customStyle="1" w:styleId="BodyText2Char">
    <w:name w:val="Body Text 2 Char"/>
    <w:basedOn w:val="DefaultParagraphFont"/>
    <w:link w:val="BodyText2"/>
    <w:rsid w:val="00512D87"/>
    <w:rPr>
      <w:sz w:val="22"/>
    </w:rPr>
  </w:style>
  <w:style w:type="paragraph" w:styleId="BodyText3">
    <w:name w:val="Body Text 3"/>
    <w:basedOn w:val="Normal"/>
    <w:link w:val="BodyText3Char"/>
    <w:rsid w:val="00512D87"/>
    <w:pPr>
      <w:spacing w:after="120"/>
    </w:pPr>
    <w:rPr>
      <w:sz w:val="16"/>
      <w:szCs w:val="16"/>
    </w:rPr>
  </w:style>
  <w:style w:type="character" w:customStyle="1" w:styleId="BodyText3Char">
    <w:name w:val="Body Text 3 Char"/>
    <w:basedOn w:val="DefaultParagraphFont"/>
    <w:link w:val="BodyText3"/>
    <w:rsid w:val="00512D87"/>
    <w:rPr>
      <w:sz w:val="16"/>
      <w:szCs w:val="16"/>
    </w:rPr>
  </w:style>
  <w:style w:type="paragraph" w:styleId="BodyTextIndent2">
    <w:name w:val="Body Text Indent 2"/>
    <w:basedOn w:val="Normal"/>
    <w:link w:val="BodyTextIndent2Char"/>
    <w:rsid w:val="00512D87"/>
    <w:pPr>
      <w:spacing w:after="120" w:line="480" w:lineRule="auto"/>
      <w:ind w:left="283"/>
    </w:pPr>
  </w:style>
  <w:style w:type="character" w:customStyle="1" w:styleId="BodyTextIndent2Char">
    <w:name w:val="Body Text Indent 2 Char"/>
    <w:basedOn w:val="DefaultParagraphFont"/>
    <w:link w:val="BodyTextIndent2"/>
    <w:rsid w:val="00512D87"/>
    <w:rPr>
      <w:sz w:val="22"/>
    </w:rPr>
  </w:style>
  <w:style w:type="paragraph" w:styleId="BodyTextIndent3">
    <w:name w:val="Body Text Indent 3"/>
    <w:basedOn w:val="Normal"/>
    <w:link w:val="BodyTextIndent3Char"/>
    <w:rsid w:val="00512D87"/>
    <w:pPr>
      <w:spacing w:after="120"/>
      <w:ind w:left="283"/>
    </w:pPr>
    <w:rPr>
      <w:sz w:val="16"/>
      <w:szCs w:val="16"/>
    </w:rPr>
  </w:style>
  <w:style w:type="character" w:customStyle="1" w:styleId="BodyTextIndent3Char">
    <w:name w:val="Body Text Indent 3 Char"/>
    <w:basedOn w:val="DefaultParagraphFont"/>
    <w:link w:val="BodyTextIndent3"/>
    <w:rsid w:val="00512D87"/>
    <w:rPr>
      <w:sz w:val="16"/>
      <w:szCs w:val="16"/>
    </w:rPr>
  </w:style>
  <w:style w:type="paragraph" w:styleId="BlockText">
    <w:name w:val="Block Text"/>
    <w:basedOn w:val="Normal"/>
    <w:rsid w:val="00512D87"/>
    <w:pPr>
      <w:spacing w:after="120"/>
      <w:ind w:left="1440" w:right="1440"/>
    </w:pPr>
  </w:style>
  <w:style w:type="character" w:styleId="Hyperlink">
    <w:name w:val="Hyperlink"/>
    <w:basedOn w:val="DefaultParagraphFont"/>
    <w:rsid w:val="00512D87"/>
    <w:rPr>
      <w:color w:val="0000FF"/>
      <w:u w:val="single"/>
    </w:rPr>
  </w:style>
  <w:style w:type="character" w:styleId="FollowedHyperlink">
    <w:name w:val="FollowedHyperlink"/>
    <w:basedOn w:val="DefaultParagraphFont"/>
    <w:rsid w:val="00512D87"/>
    <w:rPr>
      <w:color w:val="800080"/>
      <w:u w:val="single"/>
    </w:rPr>
  </w:style>
  <w:style w:type="character" w:styleId="Strong">
    <w:name w:val="Strong"/>
    <w:basedOn w:val="DefaultParagraphFont"/>
    <w:qFormat/>
    <w:rsid w:val="00512D87"/>
    <w:rPr>
      <w:b/>
      <w:bCs/>
    </w:rPr>
  </w:style>
  <w:style w:type="character" w:styleId="Emphasis">
    <w:name w:val="Emphasis"/>
    <w:basedOn w:val="DefaultParagraphFont"/>
    <w:qFormat/>
    <w:rsid w:val="00512D87"/>
    <w:rPr>
      <w:i/>
      <w:iCs/>
    </w:rPr>
  </w:style>
  <w:style w:type="paragraph" w:styleId="DocumentMap">
    <w:name w:val="Document Map"/>
    <w:basedOn w:val="Normal"/>
    <w:link w:val="DocumentMapChar"/>
    <w:rsid w:val="00512D87"/>
    <w:pPr>
      <w:shd w:val="clear" w:color="auto" w:fill="000080"/>
    </w:pPr>
    <w:rPr>
      <w:rFonts w:ascii="Tahoma" w:hAnsi="Tahoma" w:cs="Tahoma"/>
    </w:rPr>
  </w:style>
  <w:style w:type="character" w:customStyle="1" w:styleId="DocumentMapChar">
    <w:name w:val="Document Map Char"/>
    <w:basedOn w:val="DefaultParagraphFont"/>
    <w:link w:val="DocumentMap"/>
    <w:rsid w:val="00512D87"/>
    <w:rPr>
      <w:rFonts w:ascii="Tahoma" w:hAnsi="Tahoma" w:cs="Tahoma"/>
      <w:sz w:val="22"/>
      <w:shd w:val="clear" w:color="auto" w:fill="000080"/>
    </w:rPr>
  </w:style>
  <w:style w:type="paragraph" w:styleId="PlainText">
    <w:name w:val="Plain Text"/>
    <w:basedOn w:val="Normal"/>
    <w:link w:val="PlainTextChar"/>
    <w:rsid w:val="00512D87"/>
    <w:rPr>
      <w:rFonts w:ascii="Courier New" w:hAnsi="Courier New" w:cs="Courier New"/>
      <w:sz w:val="20"/>
    </w:rPr>
  </w:style>
  <w:style w:type="character" w:customStyle="1" w:styleId="PlainTextChar">
    <w:name w:val="Plain Text Char"/>
    <w:basedOn w:val="DefaultParagraphFont"/>
    <w:link w:val="PlainText"/>
    <w:rsid w:val="00512D87"/>
    <w:rPr>
      <w:rFonts w:ascii="Courier New" w:hAnsi="Courier New" w:cs="Courier New"/>
    </w:rPr>
  </w:style>
  <w:style w:type="paragraph" w:styleId="E-mailSignature">
    <w:name w:val="E-mail Signature"/>
    <w:basedOn w:val="Normal"/>
    <w:link w:val="E-mailSignatureChar"/>
    <w:rsid w:val="00512D87"/>
  </w:style>
  <w:style w:type="character" w:customStyle="1" w:styleId="E-mailSignatureChar">
    <w:name w:val="E-mail Signature Char"/>
    <w:basedOn w:val="DefaultParagraphFont"/>
    <w:link w:val="E-mailSignature"/>
    <w:rsid w:val="00512D87"/>
    <w:rPr>
      <w:sz w:val="22"/>
    </w:rPr>
  </w:style>
  <w:style w:type="paragraph" w:styleId="NormalWeb">
    <w:name w:val="Normal (Web)"/>
    <w:basedOn w:val="Normal"/>
    <w:rsid w:val="00512D87"/>
  </w:style>
  <w:style w:type="character" w:styleId="HTMLAcronym">
    <w:name w:val="HTML Acronym"/>
    <w:basedOn w:val="DefaultParagraphFont"/>
    <w:rsid w:val="00512D87"/>
  </w:style>
  <w:style w:type="paragraph" w:styleId="HTMLAddress">
    <w:name w:val="HTML Address"/>
    <w:basedOn w:val="Normal"/>
    <w:link w:val="HTMLAddressChar"/>
    <w:rsid w:val="00512D87"/>
    <w:rPr>
      <w:i/>
      <w:iCs/>
    </w:rPr>
  </w:style>
  <w:style w:type="character" w:customStyle="1" w:styleId="HTMLAddressChar">
    <w:name w:val="HTML Address Char"/>
    <w:basedOn w:val="DefaultParagraphFont"/>
    <w:link w:val="HTMLAddress"/>
    <w:rsid w:val="00512D87"/>
    <w:rPr>
      <w:i/>
      <w:iCs/>
      <w:sz w:val="22"/>
    </w:rPr>
  </w:style>
  <w:style w:type="character" w:styleId="HTMLCite">
    <w:name w:val="HTML Cite"/>
    <w:basedOn w:val="DefaultParagraphFont"/>
    <w:rsid w:val="00512D87"/>
    <w:rPr>
      <w:i/>
      <w:iCs/>
    </w:rPr>
  </w:style>
  <w:style w:type="character" w:styleId="HTMLCode">
    <w:name w:val="HTML Code"/>
    <w:basedOn w:val="DefaultParagraphFont"/>
    <w:rsid w:val="00512D87"/>
    <w:rPr>
      <w:rFonts w:ascii="Courier New" w:hAnsi="Courier New" w:cs="Courier New"/>
      <w:sz w:val="20"/>
      <w:szCs w:val="20"/>
    </w:rPr>
  </w:style>
  <w:style w:type="character" w:styleId="HTMLDefinition">
    <w:name w:val="HTML Definition"/>
    <w:basedOn w:val="DefaultParagraphFont"/>
    <w:rsid w:val="00512D87"/>
    <w:rPr>
      <w:i/>
      <w:iCs/>
    </w:rPr>
  </w:style>
  <w:style w:type="character" w:styleId="HTMLKeyboard">
    <w:name w:val="HTML Keyboard"/>
    <w:basedOn w:val="DefaultParagraphFont"/>
    <w:rsid w:val="00512D87"/>
    <w:rPr>
      <w:rFonts w:ascii="Courier New" w:hAnsi="Courier New" w:cs="Courier New"/>
      <w:sz w:val="20"/>
      <w:szCs w:val="20"/>
    </w:rPr>
  </w:style>
  <w:style w:type="paragraph" w:styleId="HTMLPreformatted">
    <w:name w:val="HTML Preformatted"/>
    <w:basedOn w:val="Normal"/>
    <w:link w:val="HTMLPreformattedChar"/>
    <w:rsid w:val="00512D87"/>
    <w:rPr>
      <w:rFonts w:ascii="Courier New" w:hAnsi="Courier New" w:cs="Courier New"/>
      <w:sz w:val="20"/>
    </w:rPr>
  </w:style>
  <w:style w:type="character" w:customStyle="1" w:styleId="HTMLPreformattedChar">
    <w:name w:val="HTML Preformatted Char"/>
    <w:basedOn w:val="DefaultParagraphFont"/>
    <w:link w:val="HTMLPreformatted"/>
    <w:rsid w:val="00512D87"/>
    <w:rPr>
      <w:rFonts w:ascii="Courier New" w:hAnsi="Courier New" w:cs="Courier New"/>
    </w:rPr>
  </w:style>
  <w:style w:type="character" w:styleId="HTMLSample">
    <w:name w:val="HTML Sample"/>
    <w:basedOn w:val="DefaultParagraphFont"/>
    <w:rsid w:val="00512D87"/>
    <w:rPr>
      <w:rFonts w:ascii="Courier New" w:hAnsi="Courier New" w:cs="Courier New"/>
    </w:rPr>
  </w:style>
  <w:style w:type="character" w:styleId="HTMLTypewriter">
    <w:name w:val="HTML Typewriter"/>
    <w:basedOn w:val="DefaultParagraphFont"/>
    <w:rsid w:val="00512D87"/>
    <w:rPr>
      <w:rFonts w:ascii="Courier New" w:hAnsi="Courier New" w:cs="Courier New"/>
      <w:sz w:val="20"/>
      <w:szCs w:val="20"/>
    </w:rPr>
  </w:style>
  <w:style w:type="character" w:styleId="HTMLVariable">
    <w:name w:val="HTML Variable"/>
    <w:basedOn w:val="DefaultParagraphFont"/>
    <w:rsid w:val="00512D87"/>
    <w:rPr>
      <w:i/>
      <w:iCs/>
    </w:rPr>
  </w:style>
  <w:style w:type="paragraph" w:styleId="CommentSubject">
    <w:name w:val="annotation subject"/>
    <w:basedOn w:val="CommentText"/>
    <w:next w:val="CommentText"/>
    <w:link w:val="CommentSubjectChar"/>
    <w:rsid w:val="00512D87"/>
    <w:rPr>
      <w:b/>
      <w:bCs/>
    </w:rPr>
  </w:style>
  <w:style w:type="character" w:customStyle="1" w:styleId="CommentSubjectChar">
    <w:name w:val="Comment Subject Char"/>
    <w:basedOn w:val="CommentTextChar"/>
    <w:link w:val="CommentSubject"/>
    <w:rsid w:val="00512D87"/>
    <w:rPr>
      <w:b/>
      <w:bCs/>
    </w:rPr>
  </w:style>
  <w:style w:type="numbering" w:styleId="1ai">
    <w:name w:val="Outline List 1"/>
    <w:basedOn w:val="NoList"/>
    <w:rsid w:val="00512D87"/>
    <w:pPr>
      <w:numPr>
        <w:numId w:val="14"/>
      </w:numPr>
    </w:pPr>
  </w:style>
  <w:style w:type="numbering" w:styleId="111111">
    <w:name w:val="Outline List 2"/>
    <w:basedOn w:val="NoList"/>
    <w:rsid w:val="00512D87"/>
    <w:pPr>
      <w:numPr>
        <w:numId w:val="15"/>
      </w:numPr>
    </w:pPr>
  </w:style>
  <w:style w:type="numbering" w:styleId="ArticleSection">
    <w:name w:val="Outline List 3"/>
    <w:basedOn w:val="NoList"/>
    <w:rsid w:val="00512D87"/>
    <w:pPr>
      <w:numPr>
        <w:numId w:val="17"/>
      </w:numPr>
    </w:pPr>
  </w:style>
  <w:style w:type="table" w:styleId="TableSimple1">
    <w:name w:val="Table Simple 1"/>
    <w:basedOn w:val="TableNormal"/>
    <w:rsid w:val="00512D8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12D8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12D8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12D8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12D8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12D8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12D8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12D8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12D8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12D8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12D8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12D8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2D8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12D8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12D8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12D8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12D8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12D8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12D8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12D8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12D8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12D8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12D8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12D8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12D8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12D8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12D8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12D8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12D8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12D8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12D8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12D8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12D8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12D8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12D8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12D8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12D8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12D8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12D8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12D8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12D8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12D8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12D8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12D87"/>
    <w:rPr>
      <w:rFonts w:eastAsia="Times New Roman" w:cs="Times New Roman"/>
      <w:b/>
      <w:kern w:val="28"/>
      <w:sz w:val="24"/>
      <w:lang w:eastAsia="en-AU"/>
    </w:rPr>
  </w:style>
  <w:style w:type="paragraph" w:customStyle="1" w:styleId="ETAsubitem">
    <w:name w:val="ETA(subitem)"/>
    <w:basedOn w:val="OPCParaBase"/>
    <w:rsid w:val="00512D87"/>
    <w:pPr>
      <w:tabs>
        <w:tab w:val="right" w:pos="340"/>
      </w:tabs>
      <w:spacing w:before="60" w:line="240" w:lineRule="auto"/>
      <w:ind w:left="454" w:hanging="454"/>
    </w:pPr>
    <w:rPr>
      <w:sz w:val="20"/>
    </w:rPr>
  </w:style>
  <w:style w:type="paragraph" w:customStyle="1" w:styleId="ETApara">
    <w:name w:val="ETA(para)"/>
    <w:basedOn w:val="OPCParaBase"/>
    <w:rsid w:val="00512D87"/>
    <w:pPr>
      <w:tabs>
        <w:tab w:val="right" w:pos="754"/>
      </w:tabs>
      <w:spacing w:before="60" w:line="240" w:lineRule="auto"/>
      <w:ind w:left="828" w:hanging="828"/>
    </w:pPr>
    <w:rPr>
      <w:sz w:val="20"/>
    </w:rPr>
  </w:style>
  <w:style w:type="paragraph" w:customStyle="1" w:styleId="ETAsubpara">
    <w:name w:val="ETA(subpara)"/>
    <w:basedOn w:val="OPCParaBase"/>
    <w:rsid w:val="00512D87"/>
    <w:pPr>
      <w:tabs>
        <w:tab w:val="right" w:pos="1083"/>
      </w:tabs>
      <w:spacing w:before="60" w:line="240" w:lineRule="auto"/>
      <w:ind w:left="1191" w:hanging="1191"/>
    </w:pPr>
    <w:rPr>
      <w:sz w:val="20"/>
    </w:rPr>
  </w:style>
  <w:style w:type="paragraph" w:customStyle="1" w:styleId="ETAsub-subpara">
    <w:name w:val="ETA(sub-subpara)"/>
    <w:basedOn w:val="OPCParaBase"/>
    <w:rsid w:val="00512D8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512D87"/>
  </w:style>
  <w:style w:type="paragraph" w:styleId="Bibliography">
    <w:name w:val="Bibliography"/>
    <w:basedOn w:val="Normal"/>
    <w:next w:val="Normal"/>
    <w:uiPriority w:val="37"/>
    <w:semiHidden/>
    <w:unhideWhenUsed/>
    <w:rsid w:val="00512D87"/>
  </w:style>
  <w:style w:type="character" w:styleId="BookTitle">
    <w:name w:val="Book Title"/>
    <w:basedOn w:val="DefaultParagraphFont"/>
    <w:uiPriority w:val="33"/>
    <w:qFormat/>
    <w:rsid w:val="00512D87"/>
    <w:rPr>
      <w:b/>
      <w:bCs/>
      <w:i/>
      <w:iCs/>
      <w:spacing w:val="5"/>
    </w:rPr>
  </w:style>
  <w:style w:type="table" w:styleId="ColorfulGrid">
    <w:name w:val="Colorful Grid"/>
    <w:basedOn w:val="TableNormal"/>
    <w:uiPriority w:val="73"/>
    <w:semiHidden/>
    <w:unhideWhenUsed/>
    <w:rsid w:val="00512D8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12D8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12D8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12D8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12D8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12D8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12D8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12D8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12D8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12D8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12D8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12D8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12D8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12D8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12D8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12D8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12D8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12D8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12D8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12D8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12D8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12D8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12D8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12D8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12D8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12D8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12D8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12D8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12D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12D8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12D8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12D8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12D8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12D8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12D8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12D8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12D8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12D8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12D8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12D8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12D8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12D8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12D8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12D8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12D8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12D8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12D8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12D8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12D8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12D8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12D8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12D8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12D8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12D8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12D8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12D8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12D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12D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12D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12D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12D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12D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12D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12D8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12D8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12D8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12D8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12D8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12D8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12D8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12D8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12D8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12D8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12D8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12D8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12D8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12D8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12D87"/>
    <w:rPr>
      <w:color w:val="2B579A"/>
      <w:shd w:val="clear" w:color="auto" w:fill="E1DFDD"/>
    </w:rPr>
  </w:style>
  <w:style w:type="character" w:styleId="IntenseEmphasis">
    <w:name w:val="Intense Emphasis"/>
    <w:basedOn w:val="DefaultParagraphFont"/>
    <w:uiPriority w:val="21"/>
    <w:qFormat/>
    <w:rsid w:val="00512D87"/>
    <w:rPr>
      <w:i/>
      <w:iCs/>
      <w:color w:val="4F81BD" w:themeColor="accent1"/>
    </w:rPr>
  </w:style>
  <w:style w:type="paragraph" w:styleId="IntenseQuote">
    <w:name w:val="Intense Quote"/>
    <w:basedOn w:val="Normal"/>
    <w:next w:val="Normal"/>
    <w:link w:val="IntenseQuoteChar"/>
    <w:uiPriority w:val="30"/>
    <w:qFormat/>
    <w:rsid w:val="00512D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12D87"/>
    <w:rPr>
      <w:i/>
      <w:iCs/>
      <w:color w:val="4F81BD" w:themeColor="accent1"/>
      <w:sz w:val="22"/>
    </w:rPr>
  </w:style>
  <w:style w:type="character" w:styleId="IntenseReference">
    <w:name w:val="Intense Reference"/>
    <w:basedOn w:val="DefaultParagraphFont"/>
    <w:uiPriority w:val="32"/>
    <w:qFormat/>
    <w:rsid w:val="00512D87"/>
    <w:rPr>
      <w:b/>
      <w:bCs/>
      <w:smallCaps/>
      <w:color w:val="4F81BD" w:themeColor="accent1"/>
      <w:spacing w:val="5"/>
    </w:rPr>
  </w:style>
  <w:style w:type="table" w:styleId="LightGrid">
    <w:name w:val="Light Grid"/>
    <w:basedOn w:val="TableNormal"/>
    <w:uiPriority w:val="62"/>
    <w:semiHidden/>
    <w:unhideWhenUsed/>
    <w:rsid w:val="00512D8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12D8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12D8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12D8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12D8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12D8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12D8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12D8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12D8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12D8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12D8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12D8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12D8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12D8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12D8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12D8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12D8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12D8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12D8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12D8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12D8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12D87"/>
    <w:pPr>
      <w:ind w:left="720"/>
      <w:contextualSpacing/>
    </w:pPr>
  </w:style>
  <w:style w:type="table" w:styleId="ListTable1Light">
    <w:name w:val="List Table 1 Light"/>
    <w:basedOn w:val="TableNormal"/>
    <w:uiPriority w:val="46"/>
    <w:rsid w:val="00512D8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12D8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12D8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12D8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12D8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12D8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12D8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12D8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12D8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12D8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12D8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12D8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12D8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12D8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12D8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12D8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12D8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12D8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12D8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12D8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12D8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12D8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12D8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12D8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12D8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12D8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12D8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12D8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12D8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12D8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12D8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12D8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12D8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12D8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12D8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12D8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12D8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12D8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12D8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12D8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12D8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12D8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12D8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12D8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12D8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12D8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12D8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12D8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12D8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12D8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12D8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12D8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12D8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12D8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12D8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12D8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12D8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12D8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12D8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12D8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12D8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12D8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12D8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12D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12D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12D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12D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12D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12D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12D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12D8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12D8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12D8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12D8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12D8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12D8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12D8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12D8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12D8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12D8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12D8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12D8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12D8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12D8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12D8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12D8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12D8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12D8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12D8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12D8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12D8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12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12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12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12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12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12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12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12D87"/>
    <w:rPr>
      <w:color w:val="2B579A"/>
      <w:shd w:val="clear" w:color="auto" w:fill="E1DFDD"/>
    </w:rPr>
  </w:style>
  <w:style w:type="paragraph" w:styleId="NoSpacing">
    <w:name w:val="No Spacing"/>
    <w:uiPriority w:val="1"/>
    <w:qFormat/>
    <w:rsid w:val="00512D87"/>
    <w:rPr>
      <w:sz w:val="22"/>
    </w:rPr>
  </w:style>
  <w:style w:type="paragraph" w:styleId="NoteHeading">
    <w:name w:val="Note Heading"/>
    <w:basedOn w:val="Normal"/>
    <w:next w:val="Normal"/>
    <w:link w:val="NoteHeadingChar"/>
    <w:uiPriority w:val="99"/>
    <w:semiHidden/>
    <w:unhideWhenUsed/>
    <w:rsid w:val="00512D87"/>
    <w:pPr>
      <w:spacing w:line="240" w:lineRule="auto"/>
    </w:pPr>
  </w:style>
  <w:style w:type="character" w:customStyle="1" w:styleId="NoteHeadingChar">
    <w:name w:val="Note Heading Char"/>
    <w:basedOn w:val="DefaultParagraphFont"/>
    <w:link w:val="NoteHeading"/>
    <w:uiPriority w:val="99"/>
    <w:semiHidden/>
    <w:rsid w:val="00512D87"/>
    <w:rPr>
      <w:sz w:val="22"/>
    </w:rPr>
  </w:style>
  <w:style w:type="character" w:styleId="PlaceholderText">
    <w:name w:val="Placeholder Text"/>
    <w:basedOn w:val="DefaultParagraphFont"/>
    <w:uiPriority w:val="99"/>
    <w:semiHidden/>
    <w:rsid w:val="00512D87"/>
    <w:rPr>
      <w:color w:val="808080"/>
    </w:rPr>
  </w:style>
  <w:style w:type="table" w:styleId="PlainTable1">
    <w:name w:val="Plain Table 1"/>
    <w:basedOn w:val="TableNormal"/>
    <w:uiPriority w:val="41"/>
    <w:rsid w:val="00512D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12D8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2D8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2D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12D8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12D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2D87"/>
    <w:rPr>
      <w:i/>
      <w:iCs/>
      <w:color w:val="404040" w:themeColor="text1" w:themeTint="BF"/>
      <w:sz w:val="22"/>
    </w:rPr>
  </w:style>
  <w:style w:type="character" w:styleId="SmartHyperlink">
    <w:name w:val="Smart Hyperlink"/>
    <w:basedOn w:val="DefaultParagraphFont"/>
    <w:uiPriority w:val="99"/>
    <w:semiHidden/>
    <w:unhideWhenUsed/>
    <w:rsid w:val="00512D87"/>
    <w:rPr>
      <w:u w:val="dotted"/>
    </w:rPr>
  </w:style>
  <w:style w:type="character" w:styleId="SubtleEmphasis">
    <w:name w:val="Subtle Emphasis"/>
    <w:basedOn w:val="DefaultParagraphFont"/>
    <w:uiPriority w:val="19"/>
    <w:qFormat/>
    <w:rsid w:val="00512D87"/>
    <w:rPr>
      <w:i/>
      <w:iCs/>
      <w:color w:val="404040" w:themeColor="text1" w:themeTint="BF"/>
    </w:rPr>
  </w:style>
  <w:style w:type="character" w:styleId="SubtleReference">
    <w:name w:val="Subtle Reference"/>
    <w:basedOn w:val="DefaultParagraphFont"/>
    <w:uiPriority w:val="31"/>
    <w:qFormat/>
    <w:rsid w:val="00512D87"/>
    <w:rPr>
      <w:smallCaps/>
      <w:color w:val="5A5A5A" w:themeColor="text1" w:themeTint="A5"/>
    </w:rPr>
  </w:style>
  <w:style w:type="table" w:styleId="TableGridLight">
    <w:name w:val="Grid Table Light"/>
    <w:basedOn w:val="TableNormal"/>
    <w:uiPriority w:val="40"/>
    <w:rsid w:val="00512D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12D87"/>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512D87"/>
    <w:rPr>
      <w:color w:val="605E5C"/>
      <w:shd w:val="clear" w:color="auto" w:fill="E1DFDD"/>
    </w:rPr>
  </w:style>
  <w:style w:type="character" w:customStyle="1" w:styleId="paragraphChar">
    <w:name w:val="paragraph Char"/>
    <w:aliases w:val="a Char"/>
    <w:basedOn w:val="DefaultParagraphFont"/>
    <w:link w:val="paragraph"/>
    <w:locked/>
    <w:rsid w:val="009C25E5"/>
    <w:rPr>
      <w:rFonts w:eastAsia="Times New Roman" w:cs="Times New Roman"/>
      <w:sz w:val="22"/>
      <w:lang w:eastAsia="en-AU"/>
    </w:rPr>
  </w:style>
  <w:style w:type="character" w:customStyle="1" w:styleId="TabletextChar">
    <w:name w:val="Tabletext Char"/>
    <w:aliases w:val="tt Char"/>
    <w:basedOn w:val="DefaultParagraphFont"/>
    <w:link w:val="Tabletext"/>
    <w:rsid w:val="00FF7F38"/>
    <w:rPr>
      <w:rFonts w:eastAsia="Times New Roman" w:cs="Times New Roman"/>
      <w:lang w:eastAsia="en-AU"/>
    </w:rPr>
  </w:style>
  <w:style w:type="character" w:customStyle="1" w:styleId="paragraphsubChar">
    <w:name w:val="paragraph(sub) Char"/>
    <w:aliases w:val="aa Char"/>
    <w:link w:val="paragraphsub"/>
    <w:rsid w:val="00643B4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07571">
      <w:bodyDiv w:val="1"/>
      <w:marLeft w:val="0"/>
      <w:marRight w:val="0"/>
      <w:marTop w:val="0"/>
      <w:marBottom w:val="0"/>
      <w:divBdr>
        <w:top w:val="none" w:sz="0" w:space="0" w:color="auto"/>
        <w:left w:val="none" w:sz="0" w:space="0" w:color="auto"/>
        <w:bottom w:val="none" w:sz="0" w:space="0" w:color="auto"/>
        <w:right w:val="none" w:sz="0" w:space="0" w:color="auto"/>
      </w:divBdr>
    </w:div>
    <w:div w:id="475491511">
      <w:bodyDiv w:val="1"/>
      <w:marLeft w:val="0"/>
      <w:marRight w:val="0"/>
      <w:marTop w:val="0"/>
      <w:marBottom w:val="0"/>
      <w:divBdr>
        <w:top w:val="none" w:sz="0" w:space="0" w:color="auto"/>
        <w:left w:val="none" w:sz="0" w:space="0" w:color="auto"/>
        <w:bottom w:val="none" w:sz="0" w:space="0" w:color="auto"/>
        <w:right w:val="none" w:sz="0" w:space="0" w:color="auto"/>
      </w:divBdr>
    </w:div>
    <w:div w:id="659432506">
      <w:bodyDiv w:val="1"/>
      <w:marLeft w:val="0"/>
      <w:marRight w:val="0"/>
      <w:marTop w:val="0"/>
      <w:marBottom w:val="0"/>
      <w:divBdr>
        <w:top w:val="none" w:sz="0" w:space="0" w:color="auto"/>
        <w:left w:val="none" w:sz="0" w:space="0" w:color="auto"/>
        <w:bottom w:val="none" w:sz="0" w:space="0" w:color="auto"/>
        <w:right w:val="none" w:sz="0" w:space="0" w:color="auto"/>
      </w:divBdr>
    </w:div>
    <w:div w:id="810512892">
      <w:bodyDiv w:val="1"/>
      <w:marLeft w:val="0"/>
      <w:marRight w:val="0"/>
      <w:marTop w:val="0"/>
      <w:marBottom w:val="0"/>
      <w:divBdr>
        <w:top w:val="none" w:sz="0" w:space="0" w:color="auto"/>
        <w:left w:val="none" w:sz="0" w:space="0" w:color="auto"/>
        <w:bottom w:val="none" w:sz="0" w:space="0" w:color="auto"/>
        <w:right w:val="none" w:sz="0" w:space="0" w:color="auto"/>
      </w:divBdr>
    </w:div>
    <w:div w:id="1135099426">
      <w:bodyDiv w:val="1"/>
      <w:marLeft w:val="0"/>
      <w:marRight w:val="0"/>
      <w:marTop w:val="0"/>
      <w:marBottom w:val="0"/>
      <w:divBdr>
        <w:top w:val="none" w:sz="0" w:space="0" w:color="auto"/>
        <w:left w:val="none" w:sz="0" w:space="0" w:color="auto"/>
        <w:bottom w:val="none" w:sz="0" w:space="0" w:color="auto"/>
        <w:right w:val="none" w:sz="0" w:space="0" w:color="auto"/>
      </w:divBdr>
      <w:divsChild>
        <w:div w:id="371658257">
          <w:marLeft w:val="1418"/>
          <w:marRight w:val="0"/>
          <w:marTop w:val="122"/>
          <w:marBottom w:val="0"/>
          <w:divBdr>
            <w:top w:val="none" w:sz="0" w:space="0" w:color="auto"/>
            <w:left w:val="none" w:sz="0" w:space="0" w:color="auto"/>
            <w:bottom w:val="none" w:sz="0" w:space="0" w:color="auto"/>
            <w:right w:val="none" w:sz="0" w:space="0" w:color="auto"/>
          </w:divBdr>
        </w:div>
        <w:div w:id="636299892">
          <w:marLeft w:val="1418"/>
          <w:marRight w:val="0"/>
          <w:marTop w:val="122"/>
          <w:marBottom w:val="0"/>
          <w:divBdr>
            <w:top w:val="none" w:sz="0" w:space="0" w:color="auto"/>
            <w:left w:val="none" w:sz="0" w:space="0" w:color="auto"/>
            <w:bottom w:val="none" w:sz="0" w:space="0" w:color="auto"/>
            <w:right w:val="none" w:sz="0" w:space="0" w:color="auto"/>
          </w:divBdr>
        </w:div>
      </w:divsChild>
    </w:div>
    <w:div w:id="1255748609">
      <w:bodyDiv w:val="1"/>
      <w:marLeft w:val="0"/>
      <w:marRight w:val="0"/>
      <w:marTop w:val="0"/>
      <w:marBottom w:val="0"/>
      <w:divBdr>
        <w:top w:val="none" w:sz="0" w:space="0" w:color="auto"/>
        <w:left w:val="none" w:sz="0" w:space="0" w:color="auto"/>
        <w:bottom w:val="none" w:sz="0" w:space="0" w:color="auto"/>
        <w:right w:val="none" w:sz="0" w:space="0" w:color="auto"/>
      </w:divBdr>
    </w:div>
    <w:div w:id="1477453155">
      <w:bodyDiv w:val="1"/>
      <w:marLeft w:val="0"/>
      <w:marRight w:val="0"/>
      <w:marTop w:val="0"/>
      <w:marBottom w:val="0"/>
      <w:divBdr>
        <w:top w:val="none" w:sz="0" w:space="0" w:color="auto"/>
        <w:left w:val="none" w:sz="0" w:space="0" w:color="auto"/>
        <w:bottom w:val="none" w:sz="0" w:space="0" w:color="auto"/>
        <w:right w:val="none" w:sz="0" w:space="0" w:color="auto"/>
      </w:divBdr>
    </w:div>
    <w:div w:id="1506434221">
      <w:bodyDiv w:val="1"/>
      <w:marLeft w:val="0"/>
      <w:marRight w:val="0"/>
      <w:marTop w:val="0"/>
      <w:marBottom w:val="0"/>
      <w:divBdr>
        <w:top w:val="none" w:sz="0" w:space="0" w:color="auto"/>
        <w:left w:val="none" w:sz="0" w:space="0" w:color="auto"/>
        <w:bottom w:val="none" w:sz="0" w:space="0" w:color="auto"/>
        <w:right w:val="none" w:sz="0" w:space="0" w:color="auto"/>
      </w:divBdr>
    </w:div>
    <w:div w:id="1858739017">
      <w:bodyDiv w:val="1"/>
      <w:marLeft w:val="0"/>
      <w:marRight w:val="0"/>
      <w:marTop w:val="0"/>
      <w:marBottom w:val="0"/>
      <w:divBdr>
        <w:top w:val="none" w:sz="0" w:space="0" w:color="auto"/>
        <w:left w:val="none" w:sz="0" w:space="0" w:color="auto"/>
        <w:bottom w:val="none" w:sz="0" w:space="0" w:color="auto"/>
        <w:right w:val="none" w:sz="0" w:space="0" w:color="auto"/>
      </w:divBdr>
    </w:div>
    <w:div w:id="1940066517">
      <w:bodyDiv w:val="1"/>
      <w:marLeft w:val="0"/>
      <w:marRight w:val="0"/>
      <w:marTop w:val="0"/>
      <w:marBottom w:val="0"/>
      <w:divBdr>
        <w:top w:val="none" w:sz="0" w:space="0" w:color="auto"/>
        <w:left w:val="none" w:sz="0" w:space="0" w:color="auto"/>
        <w:bottom w:val="none" w:sz="0" w:space="0" w:color="auto"/>
        <w:right w:val="none" w:sz="0" w:space="0" w:color="auto"/>
      </w:divBdr>
    </w:div>
    <w:div w:id="21234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8" Type="http://schemas.openxmlformats.org/officeDocument/2006/relationships/image" Target="media/image1.jp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13275-B84F-41C5-8C26-EAC32A4C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113</Pages>
  <Words>34031</Words>
  <Characters>177435</Characters>
  <Application>Microsoft Office Word</Application>
  <DocSecurity>6</DocSecurity>
  <PresentationFormat/>
  <Lines>4019</Lines>
  <Paragraphs>2133</Paragraphs>
  <ScaleCrop>false</ScaleCrop>
  <HeadingPairs>
    <vt:vector size="2" baseType="variant">
      <vt:variant>
        <vt:lpstr>Title</vt:lpstr>
      </vt:variant>
      <vt:variant>
        <vt:i4>1</vt:i4>
      </vt:variant>
    </vt:vector>
  </HeadingPairs>
  <TitlesOfParts>
    <vt:vector size="1" baseType="lpstr">
      <vt:lpstr>Anti-Money Laundering and Counter-Terrorism Financing Rules 2025</vt:lpstr>
    </vt:vector>
  </TitlesOfParts>
  <Manager/>
  <Company/>
  <LinksUpToDate>false</LinksUpToDate>
  <CharactersWithSpaces>210651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2025-05-06T04:28:00Z</cp:lastPrinted>
  <dcterms:created xsi:type="dcterms:W3CDTF">2025-05-15T23:43:00Z</dcterms:created>
  <dcterms:modified xsi:type="dcterms:W3CDTF">2025-05-15T23:43:00Z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Anti-Money Laundering and Counter-Terrorism Financing Rules 2025</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OPC66862</vt:lpwstr>
  </property>
  <property fmtid="{D5CDD505-2E9C-101B-9397-08002B2CF9AE}" pid="12" name="DLM">
    <vt:lpwstr> </vt:lpwstr>
  </property>
  <property fmtid="{D5CDD505-2E9C-101B-9397-08002B2CF9AE}" pid="13" name="Classification">
    <vt:lpwstr>EXPOSURE DRAFT</vt:lpwstr>
  </property>
  <property fmtid="{D5CDD505-2E9C-101B-9397-08002B2CF9AE}" pid="14" name="DoNotAsk">
    <vt:lpwstr>0</vt:lpwstr>
  </property>
  <property fmtid="{D5CDD505-2E9C-101B-9397-08002B2CF9AE}" pid="15" name="ChangedTitle">
    <vt:lpwstr/>
  </property>
  <property fmtid="{D5CDD505-2E9C-101B-9397-08002B2CF9AE}" pid="16" name="TrimID">
    <vt:lpwstr>PC:D25/4349</vt:lpwstr>
  </property>
</Properties>
</file>