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r w:rsidRPr="007668A6">
        <w:t>AUSTRAC file list</w:t>
      </w:r>
    </w:p>
    <w:p w:rsidR="0068145F" w:rsidRPr="007668A6" w:rsidRDefault="00F975BB" w:rsidP="007668A6">
      <w:pPr>
        <w:pStyle w:val="Heading1"/>
      </w:pPr>
      <w:r>
        <w:t xml:space="preserve">1 </w:t>
      </w:r>
      <w:r w:rsidR="00342CA9">
        <w:t>July</w:t>
      </w:r>
      <w:r w:rsidR="00802C28">
        <w:t xml:space="preserve"> to 3</w:t>
      </w:r>
      <w:r w:rsidR="00342CA9">
        <w:t>1 December</w:t>
      </w:r>
      <w:r>
        <w:t xml:space="preserve"> 2022</w:t>
      </w:r>
    </w:p>
    <w:p w:rsidR="0068145F" w:rsidRDefault="0068145F" w:rsidP="0068145F">
      <w:pPr>
        <w:rPr>
          <w:sz w:val="24"/>
        </w:rPr>
      </w:pPr>
      <w:r w:rsidRPr="00342CA9">
        <w:rPr>
          <w:sz w:val="24"/>
        </w:rPr>
        <w:t xml:space="preserve">This is a list of relevant file titles created by AUSTRAC between 1 </w:t>
      </w:r>
      <w:r w:rsidR="00342CA9" w:rsidRPr="00342CA9">
        <w:rPr>
          <w:sz w:val="24"/>
        </w:rPr>
        <w:t>July</w:t>
      </w:r>
      <w:r w:rsidRPr="00342CA9">
        <w:rPr>
          <w:sz w:val="24"/>
        </w:rPr>
        <w:t xml:space="preserve"> and </w:t>
      </w:r>
      <w:r w:rsidR="00342CA9" w:rsidRPr="00342CA9">
        <w:rPr>
          <w:sz w:val="24"/>
        </w:rPr>
        <w:t>31</w:t>
      </w:r>
      <w:r w:rsidR="00DF358C" w:rsidRPr="00342CA9">
        <w:rPr>
          <w:sz w:val="24"/>
        </w:rPr>
        <w:t xml:space="preserve"> </w:t>
      </w:r>
      <w:r w:rsidR="00342CA9" w:rsidRPr="00342CA9">
        <w:rPr>
          <w:sz w:val="24"/>
        </w:rPr>
        <w:t xml:space="preserve">December </w:t>
      </w:r>
      <w:r w:rsidR="00F975BB" w:rsidRPr="00342CA9">
        <w:rPr>
          <w:sz w:val="24"/>
        </w:rPr>
        <w:t>2022</w:t>
      </w:r>
      <w:r w:rsidRPr="00342CA9">
        <w:rPr>
          <w:sz w:val="24"/>
        </w:rP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w:t>
      </w:r>
      <w:bookmarkStart w:id="0" w:name="_GoBack"/>
      <w:bookmarkEnd w:id="0"/>
      <w:r w:rsidRPr="00342CA9">
        <w:rPr>
          <w:sz w:val="24"/>
        </w:rPr>
        <w:t>tes.</w:t>
      </w:r>
    </w:p>
    <w:p w:rsidR="00342CA9" w:rsidRPr="00342CA9" w:rsidRDefault="00342CA9" w:rsidP="0068145F">
      <w:pPr>
        <w:rPr>
          <w:sz w:val="24"/>
        </w:rPr>
      </w:pPr>
    </w:p>
    <w:tbl>
      <w:tblPr>
        <w:tblStyle w:val="GridTable4-Accent2"/>
        <w:tblW w:w="9634" w:type="dxa"/>
        <w:tblLook w:val="04A0" w:firstRow="1" w:lastRow="0" w:firstColumn="1" w:lastColumn="0" w:noHBand="0" w:noVBand="1"/>
      </w:tblPr>
      <w:tblGrid>
        <w:gridCol w:w="1555"/>
        <w:gridCol w:w="8079"/>
      </w:tblGrid>
      <w:tr w:rsidR="0068145F" w:rsidRPr="002A3215" w:rsidTr="00342CA9">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802C28">
            <w:pPr>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15422593</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Senate Estimates October-November 2022</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15074881</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Ministerial correspondence 2022-23</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15058333</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Question Time Briefs (QTB) 2022-23</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15161876</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Questions on Notice - The Senate and House of Representatives 2022-23</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15162949</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Serious Financial Crime Taskforce (SFCT) CEO Forum - 2022-2025</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15163046</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Serious Financial Crime Taskforce (SFCT) CEO Forum - 2018-2021</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16078783</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Senate Estimates - February 2023</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16081995</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Senate file list July to December 2022</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15148500</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Senate file list January to June 2022</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15805218</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Regional FICG Meeting - Singapore 14-16 February 2023</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15842863</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Egmont Committee Meeting May 2024</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15916073</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AGD - Legislation Data Breach Working Group 2022-2023</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15216607</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Egmont Meeting 2023-01 January/February - Dakar, Senegal - EC and Working Groups</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15860103</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Corporate Plan 2023-27</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16153418</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APG Mutual Evaluation Committee (MEC) meetings 2023</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15915847</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OECD 2023 peer review of Common Reporting Standard</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16078220</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FATF Plenary Meeting Hybrid February 2023</w:t>
            </w:r>
          </w:p>
        </w:tc>
      </w:tr>
      <w:tr w:rsidR="00342CA9" w:rsidRPr="00342CA9" w:rsidTr="00342CA9">
        <w:trPr>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15171103</w:t>
            </w:r>
          </w:p>
        </w:tc>
        <w:tc>
          <w:tcPr>
            <w:tcW w:w="8079" w:type="dxa"/>
            <w:noWrap/>
            <w:hideMark/>
          </w:tcPr>
          <w:p w:rsidR="00342CA9" w:rsidRPr="00342CA9" w:rsidRDefault="00342CA9" w:rsidP="00342CA9">
            <w:pPr>
              <w:spacing w:before="0" w:after="120" w:line="276" w:lineRule="auto"/>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342CA9">
              <w:rPr>
                <w:rFonts w:cs="Calibri"/>
                <w:color w:val="000000"/>
                <w:sz w:val="22"/>
                <w:szCs w:val="22"/>
              </w:rPr>
              <w:t>Electronic Surveillance Reform Legislation Development 2022-23</w:t>
            </w:r>
          </w:p>
        </w:tc>
      </w:tr>
      <w:tr w:rsidR="00342CA9" w:rsidRPr="00342CA9" w:rsidTr="00342CA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55" w:type="dxa"/>
            <w:noWrap/>
            <w:hideMark/>
          </w:tcPr>
          <w:p w:rsidR="00342CA9" w:rsidRPr="00342CA9" w:rsidRDefault="00342CA9" w:rsidP="00342CA9">
            <w:pPr>
              <w:spacing w:before="0" w:after="120" w:line="276" w:lineRule="auto"/>
              <w:rPr>
                <w:rFonts w:cs="Calibri"/>
                <w:color w:val="000000"/>
                <w:sz w:val="22"/>
                <w:szCs w:val="22"/>
              </w:rPr>
            </w:pPr>
            <w:r w:rsidRPr="00342CA9">
              <w:rPr>
                <w:rFonts w:cs="Calibri"/>
                <w:color w:val="000000"/>
                <w:sz w:val="22"/>
                <w:szCs w:val="22"/>
              </w:rPr>
              <w:t>15442130</w:t>
            </w:r>
          </w:p>
        </w:tc>
        <w:tc>
          <w:tcPr>
            <w:tcW w:w="8079" w:type="dxa"/>
            <w:noWrap/>
            <w:hideMark/>
          </w:tcPr>
          <w:p w:rsidR="00342CA9" w:rsidRPr="00342CA9" w:rsidRDefault="00342CA9" w:rsidP="00342CA9">
            <w:pPr>
              <w:spacing w:before="0" w:after="120" w:line="276" w:lineRule="auto"/>
              <w:cnfStyle w:val="000000100000" w:firstRow="0" w:lastRow="0" w:firstColumn="0" w:lastColumn="0" w:oddVBand="0" w:evenVBand="0" w:oddHBand="1" w:evenHBand="0" w:firstRowFirstColumn="0" w:firstRowLastColumn="0" w:lastRowFirstColumn="0" w:lastRowLastColumn="0"/>
              <w:rPr>
                <w:rFonts w:cs="Calibri"/>
                <w:bCs/>
                <w:color w:val="000000"/>
                <w:sz w:val="22"/>
                <w:szCs w:val="22"/>
              </w:rPr>
            </w:pPr>
            <w:r w:rsidRPr="00342CA9">
              <w:rPr>
                <w:rFonts w:cs="Calibri"/>
                <w:bCs/>
                <w:color w:val="000000"/>
                <w:sz w:val="22"/>
                <w:szCs w:val="22"/>
              </w:rPr>
              <w:t>FATF Plenary Meeting Hybrid October 2022</w:t>
            </w:r>
          </w:p>
        </w:tc>
      </w:tr>
    </w:tbl>
    <w:p w:rsidR="00BB2AE6" w:rsidRDefault="00BB2AE6" w:rsidP="00BB2AE6"/>
    <w:sectPr w:rsidR="00BB2AE6" w:rsidSect="00BB2AE6">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BA" w:rsidRDefault="002F21BA" w:rsidP="00213DCE">
      <w:r>
        <w:separator/>
      </w:r>
    </w:p>
  </w:endnote>
  <w:endnote w:type="continuationSeparator" w:id="0">
    <w:p w:rsidR="002F21BA" w:rsidRDefault="002F21BA"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1" w:rsidRDefault="000C4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Pr>
                <w:sz w:val="20"/>
              </w:rPr>
              <w:t>J</w:t>
            </w:r>
            <w:r w:rsidR="007668A6">
              <w:rPr>
                <w:sz w:val="20"/>
              </w:rPr>
              <w:t>anuary</w:t>
            </w:r>
            <w:r w:rsidRPr="002A3215">
              <w:rPr>
                <w:sz w:val="20"/>
              </w:rPr>
              <w:t xml:space="preserve"> to </w:t>
            </w:r>
            <w:r>
              <w:rPr>
                <w:sz w:val="20"/>
              </w:rPr>
              <w:t>3</w:t>
            </w:r>
            <w:r w:rsidR="007668A6">
              <w:rPr>
                <w:sz w:val="20"/>
              </w:rPr>
              <w:t>0 June</w:t>
            </w:r>
            <w:r>
              <w:rPr>
                <w:sz w:val="20"/>
              </w:rPr>
              <w:t xml:space="preserve"> </w:t>
            </w:r>
            <w:r w:rsidR="00F975BB">
              <w:rPr>
                <w:sz w:val="20"/>
              </w:rPr>
              <w:t>2022</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342CA9">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0C47F1">
              <w:rPr>
                <w:b/>
                <w:bCs/>
                <w:noProof/>
                <w:sz w:val="20"/>
              </w:rPr>
              <w:t>1</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 xml:space="preserve">AUSTRAC file list </w:t>
            </w:r>
            <w:r w:rsidR="00342CA9" w:rsidRPr="00342CA9">
              <w:rPr>
                <w:sz w:val="20"/>
              </w:rPr>
              <w:t>1 July and 31 December 2022</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0C47F1">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0C47F1">
              <w:rPr>
                <w:b/>
                <w:bCs/>
                <w:noProof/>
                <w:sz w:val="20"/>
              </w:rPr>
              <w:t>1</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BA" w:rsidRDefault="002F21BA" w:rsidP="00213DCE">
      <w:r>
        <w:separator/>
      </w:r>
    </w:p>
  </w:footnote>
  <w:footnote w:type="continuationSeparator" w:id="0">
    <w:p w:rsidR="002F21BA" w:rsidRDefault="002F21BA"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1" w:rsidRDefault="000C4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1" w:rsidRDefault="000C4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r>
      <w:rPr>
        <w:noProof/>
      </w:rPr>
      <w:drawing>
        <wp:inline distT="0" distB="0" distL="0" distR="0">
          <wp:extent cx="1567180" cy="1032510"/>
          <wp:effectExtent l="0" t="0" r="0" b="0"/>
          <wp:docPr id="8" name="Picture 31"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9"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35335"/>
    <w:rsid w:val="000C47F1"/>
    <w:rsid w:val="000E37D1"/>
    <w:rsid w:val="00110EA5"/>
    <w:rsid w:val="00125FF8"/>
    <w:rsid w:val="00164116"/>
    <w:rsid w:val="001D0B30"/>
    <w:rsid w:val="00213DCE"/>
    <w:rsid w:val="00232F64"/>
    <w:rsid w:val="00260141"/>
    <w:rsid w:val="002A3215"/>
    <w:rsid w:val="002B01D5"/>
    <w:rsid w:val="002E15BF"/>
    <w:rsid w:val="002F21BA"/>
    <w:rsid w:val="00301CC1"/>
    <w:rsid w:val="00342CA9"/>
    <w:rsid w:val="003637CA"/>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7E95"/>
    <w:rsid w:val="009C3731"/>
    <w:rsid w:val="009D5F70"/>
    <w:rsid w:val="00A91794"/>
    <w:rsid w:val="00AC15F7"/>
    <w:rsid w:val="00AE61F1"/>
    <w:rsid w:val="00AF781E"/>
    <w:rsid w:val="00B071C2"/>
    <w:rsid w:val="00B30FAB"/>
    <w:rsid w:val="00B76C85"/>
    <w:rsid w:val="00B820B6"/>
    <w:rsid w:val="00BB2AE6"/>
    <w:rsid w:val="00BC75F1"/>
    <w:rsid w:val="00C57116"/>
    <w:rsid w:val="00CE70D6"/>
    <w:rsid w:val="00D213AA"/>
    <w:rsid w:val="00D501BF"/>
    <w:rsid w:val="00D650BF"/>
    <w:rsid w:val="00D95D04"/>
    <w:rsid w:val="00DD082B"/>
    <w:rsid w:val="00DE0164"/>
    <w:rsid w:val="00DF358C"/>
    <w:rsid w:val="00DF7ADB"/>
    <w:rsid w:val="00E330C1"/>
    <w:rsid w:val="00E5225C"/>
    <w:rsid w:val="00E558F3"/>
    <w:rsid w:val="00E80A12"/>
    <w:rsid w:val="00EA341F"/>
    <w:rsid w:val="00ED1BEC"/>
    <w:rsid w:val="00F008AD"/>
    <w:rsid w:val="00F714DB"/>
    <w:rsid w:val="00F84B1D"/>
    <w:rsid w:val="00F975BB"/>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192422524">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464666733">
      <w:bodyDiv w:val="1"/>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506363526">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2023-01-17T03:18:00Z</dcterms:created>
  <dcterms:modified xsi:type="dcterms:W3CDTF">2023-01-17T03:43:00Z</dcterms:modified>
</cp:coreProperties>
</file>