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5F" w:rsidRPr="007668A6" w:rsidRDefault="0068145F" w:rsidP="007668A6">
      <w:pPr>
        <w:pStyle w:val="Title"/>
      </w:pPr>
      <w:bookmarkStart w:id="0" w:name="_GoBack"/>
      <w:bookmarkEnd w:id="0"/>
      <w:r w:rsidRPr="007668A6">
        <w:t>AUSTRAC file list</w:t>
      </w:r>
    </w:p>
    <w:p w:rsidR="0068145F" w:rsidRPr="007668A6" w:rsidRDefault="00F975BB" w:rsidP="007668A6">
      <w:pPr>
        <w:pStyle w:val="Heading1"/>
      </w:pPr>
      <w:r>
        <w:t>1 January</w:t>
      </w:r>
      <w:r w:rsidR="00802C28">
        <w:t xml:space="preserve"> to 3</w:t>
      </w:r>
      <w:r>
        <w:t>0</w:t>
      </w:r>
      <w:r w:rsidR="00DF358C" w:rsidRPr="007668A6">
        <w:t xml:space="preserve"> </w:t>
      </w:r>
      <w:r>
        <w:t>June 2022</w:t>
      </w:r>
    </w:p>
    <w:p w:rsidR="0068145F" w:rsidRDefault="0068145F" w:rsidP="0068145F">
      <w:r>
        <w:t xml:space="preserve">This is a list of relevant file titles created by AUSTRAC between 1 </w:t>
      </w:r>
      <w:r w:rsidR="00F975BB">
        <w:t>January</w:t>
      </w:r>
      <w:r>
        <w:t xml:space="preserve"> and </w:t>
      </w:r>
      <w:r w:rsidR="00F975BB">
        <w:t>30</w:t>
      </w:r>
      <w:r w:rsidR="00DF358C">
        <w:t xml:space="preserve"> </w:t>
      </w:r>
      <w:r w:rsidR="00F975BB">
        <w:t>June</w:t>
      </w:r>
      <w:r w:rsidR="00957E95">
        <w:t xml:space="preserve"> </w:t>
      </w:r>
      <w:r w:rsidR="00F975BB">
        <w:t>2022</w:t>
      </w:r>
      <w: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websites.</w:t>
      </w:r>
    </w:p>
    <w:tbl>
      <w:tblPr>
        <w:tblStyle w:val="GridTable4-Accent2"/>
        <w:tblW w:w="9634" w:type="dxa"/>
        <w:tblLook w:val="04A0" w:firstRow="1" w:lastRow="0" w:firstColumn="1" w:lastColumn="0" w:noHBand="0" w:noVBand="1"/>
      </w:tblPr>
      <w:tblGrid>
        <w:gridCol w:w="1555"/>
        <w:gridCol w:w="8079"/>
      </w:tblGrid>
      <w:tr w:rsidR="0068145F" w:rsidRPr="002A3215" w:rsidTr="00F975BB">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rsidR="0068145F" w:rsidRPr="00802C28" w:rsidRDefault="002A3215" w:rsidP="00802C28">
            <w:pPr>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14667220</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Government Caretaker Conventions 2022</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14602861</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Incoming Minister's Brief 2022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14136394</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Senate file list July to December 2021</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14154051</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Parliamentary Inquiries 2022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14161876</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Ministerial Briefs 2022</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14330760</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Senate Estimates - March-April 2022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14513787</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Philippines SARPP Strengthening AML</w:t>
            </w:r>
            <w:r w:rsidR="004D5715">
              <w:rPr>
                <w:rFonts w:cs="Calibri"/>
                <w:color w:val="000000"/>
                <w:sz w:val="22"/>
                <w:szCs w:val="22"/>
              </w:rPr>
              <w:t xml:space="preserve">/CTF Responses - </w:t>
            </w:r>
            <w:r w:rsidRPr="00F975BB">
              <w:rPr>
                <w:rFonts w:cs="Calibri"/>
                <w:color w:val="000000"/>
                <w:sz w:val="22"/>
                <w:szCs w:val="22"/>
              </w:rPr>
              <w:t>2022 - 2024 - Policy &amp; Reporting</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14603832</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Exemption Policy and Guidance Note - 2022 update</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14884912</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Egmont Asia Pacific Regional Representative Role - 2022-2023</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14866129</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Egmont Committee Meeting May 2022 - Ottawa, Canada</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14231248</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AUSTRAC Statement of Expectations and Statement of Intent 2021-22</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14461703</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Annual Report 2021-22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15061654</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Governance Committee (GC) Meetings - 2022-23</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14462149</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APG Annual Meeting 2022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14731900</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FATF Plenary Meeting Hybrid June 2022</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14147519</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 xml:space="preserve">Policy meetings with </w:t>
            </w:r>
            <w:proofErr w:type="spellStart"/>
            <w:r w:rsidRPr="00F975BB">
              <w:rPr>
                <w:rFonts w:cs="Calibri"/>
                <w:color w:val="000000"/>
                <w:sz w:val="22"/>
                <w:szCs w:val="22"/>
              </w:rPr>
              <w:t>Blockchain</w:t>
            </w:r>
            <w:proofErr w:type="spellEnd"/>
            <w:r w:rsidRPr="00F975BB">
              <w:rPr>
                <w:rFonts w:cs="Calibri"/>
                <w:color w:val="000000"/>
                <w:sz w:val="22"/>
                <w:szCs w:val="22"/>
              </w:rPr>
              <w:t xml:space="preserve"> Australia and the Australian Bitcoin Industry Body 2022-2023</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14297833</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AML/CTF Act review implementation - Phase 2 reforms - First consultation paper</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14426583</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AML/CTF Rules - Public Consultation - 2022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lastRenderedPageBreak/>
              <w:t>14534521</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AML/CTF Rules - Registration of Instruments - 2022</w:t>
            </w:r>
          </w:p>
        </w:tc>
      </w:tr>
      <w:tr w:rsidR="00F975BB" w:rsidRPr="00F975BB" w:rsidTr="00F975BB">
        <w:trPr>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14592003</w:t>
            </w:r>
          </w:p>
        </w:tc>
        <w:tc>
          <w:tcPr>
            <w:tcW w:w="8079" w:type="dxa"/>
            <w:noWrap/>
            <w:hideMark/>
          </w:tcPr>
          <w:p w:rsidR="00F975BB" w:rsidRPr="00F975BB" w:rsidRDefault="00F975BB" w:rsidP="00A11F58">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F975BB">
              <w:rPr>
                <w:rFonts w:cs="Calibri"/>
                <w:color w:val="000000"/>
                <w:sz w:val="22"/>
                <w:szCs w:val="22"/>
              </w:rPr>
              <w:t>Education Materials - AML CTF Act and Rules Technical Guidance 2022</w:t>
            </w:r>
          </w:p>
        </w:tc>
      </w:tr>
      <w:tr w:rsidR="00F975BB" w:rsidRPr="00F975BB" w:rsidTr="00F975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hideMark/>
          </w:tcPr>
          <w:p w:rsidR="00F975BB" w:rsidRPr="00F975BB" w:rsidRDefault="00F975BB" w:rsidP="00A11F58">
            <w:pPr>
              <w:spacing w:before="0" w:after="120" w:line="276" w:lineRule="auto"/>
              <w:rPr>
                <w:rFonts w:cs="Calibri"/>
                <w:color w:val="000000"/>
                <w:sz w:val="22"/>
                <w:szCs w:val="22"/>
              </w:rPr>
            </w:pPr>
            <w:r w:rsidRPr="00F975BB">
              <w:rPr>
                <w:rFonts w:cs="Calibri"/>
                <w:color w:val="000000"/>
                <w:sz w:val="22"/>
                <w:szCs w:val="22"/>
              </w:rPr>
              <w:t>14269569</w:t>
            </w:r>
          </w:p>
        </w:tc>
        <w:tc>
          <w:tcPr>
            <w:tcW w:w="8079" w:type="dxa"/>
            <w:noWrap/>
            <w:hideMark/>
          </w:tcPr>
          <w:p w:rsidR="00F975BB" w:rsidRPr="00F975BB" w:rsidRDefault="00F975BB" w:rsidP="00A11F58">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F975BB">
              <w:rPr>
                <w:rFonts w:cs="Calibri"/>
                <w:color w:val="000000"/>
                <w:sz w:val="22"/>
                <w:szCs w:val="22"/>
              </w:rPr>
              <w:t>FICG Minutes 2022</w:t>
            </w:r>
          </w:p>
        </w:tc>
      </w:tr>
    </w:tbl>
    <w:p w:rsidR="00BB2AE6" w:rsidRDefault="00BB2AE6" w:rsidP="00BB2AE6"/>
    <w:sectPr w:rsidR="00BB2AE6" w:rsidSect="00BB2AE6">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04" w:rsidRDefault="00D95D04" w:rsidP="00213DCE">
      <w:r>
        <w:separator/>
      </w:r>
    </w:p>
  </w:endnote>
  <w:endnote w:type="continuationSeparator" w:id="0">
    <w:p w:rsidR="00D95D04" w:rsidRDefault="00D95D04"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64" w:rsidRDefault="00232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rsidR="00035335" w:rsidRPr="00035335" w:rsidRDefault="00DF358C" w:rsidP="007668A6">
            <w:pPr>
              <w:tabs>
                <w:tab w:val="left" w:pos="8364"/>
              </w:tabs>
              <w:rPr>
                <w:sz w:val="20"/>
              </w:rPr>
            </w:pPr>
            <w:r w:rsidRPr="002A3215">
              <w:rPr>
                <w:sz w:val="20"/>
              </w:rPr>
              <w:t xml:space="preserve">AUSTRAC file list 1 </w:t>
            </w:r>
            <w:r>
              <w:rPr>
                <w:sz w:val="20"/>
              </w:rPr>
              <w:t>J</w:t>
            </w:r>
            <w:r w:rsidR="007668A6">
              <w:rPr>
                <w:sz w:val="20"/>
              </w:rPr>
              <w:t>anuary</w:t>
            </w:r>
            <w:r w:rsidRPr="002A3215">
              <w:rPr>
                <w:sz w:val="20"/>
              </w:rPr>
              <w:t xml:space="preserve"> to </w:t>
            </w:r>
            <w:r>
              <w:rPr>
                <w:sz w:val="20"/>
              </w:rPr>
              <w:t>3</w:t>
            </w:r>
            <w:r w:rsidR="007668A6">
              <w:rPr>
                <w:sz w:val="20"/>
              </w:rPr>
              <w:t>0 June</w:t>
            </w:r>
            <w:r>
              <w:rPr>
                <w:sz w:val="20"/>
              </w:rPr>
              <w:t xml:space="preserve"> </w:t>
            </w:r>
            <w:r w:rsidR="00F975BB">
              <w:rPr>
                <w:sz w:val="20"/>
              </w:rPr>
              <w:t>2022</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232F64">
              <w:rPr>
                <w:b/>
                <w:bCs/>
                <w:noProof/>
                <w:sz w:val="20"/>
              </w:rPr>
              <w:t>2</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232F64">
              <w:rPr>
                <w:b/>
                <w:bCs/>
                <w:noProof/>
                <w:sz w:val="20"/>
              </w:rPr>
              <w:t>2</w:t>
            </w:r>
            <w:r w:rsidR="00035335" w:rsidRPr="002A3215">
              <w:rPr>
                <w:b/>
                <w:bCs/>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805872"/>
      <w:docPartObj>
        <w:docPartGallery w:val="Page Numbers (Bottom of Page)"/>
        <w:docPartUnique/>
      </w:docPartObj>
    </w:sdtPr>
    <w:sdtEndPr/>
    <w:sdtContent>
      <w:sdt>
        <w:sdtPr>
          <w:rPr>
            <w:sz w:val="20"/>
          </w:rPr>
          <w:id w:val="-1341454913"/>
          <w:docPartObj>
            <w:docPartGallery w:val="Page Numbers (Top of Page)"/>
            <w:docPartUnique/>
          </w:docPartObj>
        </w:sdtPr>
        <w:sdtEndPr/>
        <w:sdtContent>
          <w:p w:rsidR="002A3215" w:rsidRPr="002A3215" w:rsidRDefault="002A3215" w:rsidP="007668A6">
            <w:pPr>
              <w:tabs>
                <w:tab w:val="left" w:pos="8364"/>
              </w:tabs>
              <w:rPr>
                <w:sz w:val="20"/>
              </w:rPr>
            </w:pPr>
            <w:r w:rsidRPr="002A3215">
              <w:rPr>
                <w:sz w:val="20"/>
              </w:rPr>
              <w:t>AUSTRAC file list 1</w:t>
            </w:r>
            <w:r w:rsidR="00802C28">
              <w:rPr>
                <w:sz w:val="20"/>
              </w:rPr>
              <w:t xml:space="preserve"> </w:t>
            </w:r>
            <w:r w:rsidR="00F975BB">
              <w:rPr>
                <w:sz w:val="20"/>
              </w:rPr>
              <w:t>January</w:t>
            </w:r>
            <w:r w:rsidR="00802C28">
              <w:rPr>
                <w:sz w:val="20"/>
              </w:rPr>
              <w:t xml:space="preserve"> </w:t>
            </w:r>
            <w:r w:rsidRPr="002A3215">
              <w:rPr>
                <w:sz w:val="20"/>
              </w:rPr>
              <w:t xml:space="preserve">to </w:t>
            </w:r>
            <w:r w:rsidR="00F975BB">
              <w:rPr>
                <w:sz w:val="20"/>
              </w:rPr>
              <w:t>30 June 2022</w:t>
            </w:r>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232F64">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232F64">
              <w:rPr>
                <w:b/>
                <w:bCs/>
                <w:noProof/>
                <w:sz w:val="20"/>
              </w:rPr>
              <w:t>2</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04" w:rsidRDefault="00D95D04" w:rsidP="00213DCE">
      <w:r>
        <w:separator/>
      </w:r>
    </w:p>
  </w:footnote>
  <w:footnote w:type="continuationSeparator" w:id="0">
    <w:p w:rsidR="00D95D04" w:rsidRDefault="00D95D04"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64" w:rsidRDefault="0023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64" w:rsidRDefault="00232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1" w:rsidRDefault="002A3215" w:rsidP="00C57116">
    <w:pPr>
      <w:jc w:val="right"/>
    </w:pPr>
    <w:r>
      <w:rPr>
        <w:noProof/>
      </w:rPr>
      <w:drawing>
        <wp:inline distT="0" distB="0" distL="0" distR="0">
          <wp:extent cx="1567180" cy="1032510"/>
          <wp:effectExtent l="0" t="0" r="0" b="0"/>
          <wp:docPr id="8" name="Picture 31"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-453390</wp:posOffset>
          </wp:positionV>
          <wp:extent cx="1239520" cy="2628900"/>
          <wp:effectExtent l="0" t="0" r="0" b="0"/>
          <wp:wrapNone/>
          <wp:docPr id="9"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F"/>
    <w:rsid w:val="00002A05"/>
    <w:rsid w:val="00035335"/>
    <w:rsid w:val="000E37D1"/>
    <w:rsid w:val="00110EA5"/>
    <w:rsid w:val="00125FF8"/>
    <w:rsid w:val="00164116"/>
    <w:rsid w:val="001D0B30"/>
    <w:rsid w:val="00213DCE"/>
    <w:rsid w:val="00232F64"/>
    <w:rsid w:val="00260141"/>
    <w:rsid w:val="002A3215"/>
    <w:rsid w:val="002B01D5"/>
    <w:rsid w:val="002E15BF"/>
    <w:rsid w:val="00301CC1"/>
    <w:rsid w:val="003637CA"/>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C2C77"/>
    <w:rsid w:val="005C612E"/>
    <w:rsid w:val="005D30D6"/>
    <w:rsid w:val="00614015"/>
    <w:rsid w:val="00630A73"/>
    <w:rsid w:val="00651A72"/>
    <w:rsid w:val="0068145F"/>
    <w:rsid w:val="006F2CEA"/>
    <w:rsid w:val="0071051F"/>
    <w:rsid w:val="007668A6"/>
    <w:rsid w:val="00767C1C"/>
    <w:rsid w:val="00780BA8"/>
    <w:rsid w:val="007B13D4"/>
    <w:rsid w:val="007C72FC"/>
    <w:rsid w:val="007D21F2"/>
    <w:rsid w:val="007F4942"/>
    <w:rsid w:val="00802C28"/>
    <w:rsid w:val="008172B9"/>
    <w:rsid w:val="00842E0F"/>
    <w:rsid w:val="00880C2C"/>
    <w:rsid w:val="00886D9E"/>
    <w:rsid w:val="00894EF0"/>
    <w:rsid w:val="009544B8"/>
    <w:rsid w:val="00957E95"/>
    <w:rsid w:val="009C3731"/>
    <w:rsid w:val="009D5F70"/>
    <w:rsid w:val="00A91794"/>
    <w:rsid w:val="00AC15F7"/>
    <w:rsid w:val="00AE61F1"/>
    <w:rsid w:val="00AF781E"/>
    <w:rsid w:val="00B071C2"/>
    <w:rsid w:val="00B30FAB"/>
    <w:rsid w:val="00B76C85"/>
    <w:rsid w:val="00B820B6"/>
    <w:rsid w:val="00BB2AE6"/>
    <w:rsid w:val="00BC75F1"/>
    <w:rsid w:val="00C57116"/>
    <w:rsid w:val="00CE70D6"/>
    <w:rsid w:val="00D213AA"/>
    <w:rsid w:val="00D501BF"/>
    <w:rsid w:val="00D650BF"/>
    <w:rsid w:val="00D95D04"/>
    <w:rsid w:val="00DD082B"/>
    <w:rsid w:val="00DE0164"/>
    <w:rsid w:val="00DF358C"/>
    <w:rsid w:val="00DF7ADB"/>
    <w:rsid w:val="00E330C1"/>
    <w:rsid w:val="00E5225C"/>
    <w:rsid w:val="00E558F3"/>
    <w:rsid w:val="00E80A12"/>
    <w:rsid w:val="00EA341F"/>
    <w:rsid w:val="00ED1BEC"/>
    <w:rsid w:val="00F008AD"/>
    <w:rsid w:val="00F714DB"/>
    <w:rsid w:val="00F84B1D"/>
    <w:rsid w:val="00F975BB"/>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2022-08-17T06:06:00Z</dcterms:created>
  <dcterms:modified xsi:type="dcterms:W3CDTF">2022-08-17T06:22:00Z</dcterms:modified>
</cp:coreProperties>
</file>