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BA02A7">
      <w:pPr>
        <w:pStyle w:val="MediaNeutralStyle"/>
      </w:pPr>
      <w:bookmarkStart w:id="0" w:name="MNC"/>
      <w:r>
        <w:t xml:space="preserve">Chief Executive Officer </w:t>
      </w:r>
      <w:r w:rsidR="00F74A52">
        <w:t xml:space="preserve">of </w:t>
      </w:r>
      <w:r>
        <w:t>Australian Transaction Reports and Analysis Centre v TAB Limited</w:t>
      </w:r>
      <w:r w:rsidR="00CE575A">
        <w:t xml:space="preserve"> (No 3)</w:t>
      </w:r>
      <w:r>
        <w:t xml:space="preserve"> [2017] FCA </w:t>
      </w:r>
      <w:r w:rsidR="009949C1">
        <w:t>1296</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C47AE6">
        <w:tc>
          <w:tcPr>
            <w:tcW w:w="3085" w:type="dxa"/>
            <w:shd w:val="clear" w:color="auto" w:fill="auto"/>
          </w:tcPr>
          <w:p w:rsidR="00395B24" w:rsidRDefault="002C7385" w:rsidP="00BA4D46">
            <w:pPr>
              <w:pStyle w:val="Normal1linespace"/>
              <w:widowControl w:val="0"/>
              <w:jc w:val="left"/>
            </w:pPr>
            <w:r>
              <w:t>File number:</w:t>
            </w:r>
          </w:p>
        </w:tc>
        <w:tc>
          <w:tcPr>
            <w:tcW w:w="5989" w:type="dxa"/>
            <w:shd w:val="clear" w:color="auto" w:fill="auto"/>
          </w:tcPr>
          <w:p w:rsidR="00395B24" w:rsidRPr="00BA02A7" w:rsidRDefault="00FC722F" w:rsidP="008072E9">
            <w:pPr>
              <w:pStyle w:val="Normal1linespace"/>
              <w:jc w:val="left"/>
            </w:pPr>
            <w:fldSimple w:instr=" REF  FileNo  \* MERGEFORMAT " w:fldLock="1">
              <w:r w:rsidR="00BA02A7" w:rsidRPr="00BA02A7">
                <w:t>NSD 852</w:t>
              </w:r>
              <w:r w:rsidR="008072E9">
                <w:t xml:space="preserve"> of </w:t>
              </w:r>
              <w:r w:rsidR="00BA02A7" w:rsidRPr="00BA02A7">
                <w:t>2015</w:t>
              </w:r>
            </w:fldSimple>
          </w:p>
        </w:tc>
      </w:tr>
      <w:tr w:rsidR="00395B24" w:rsidTr="00C47AE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7AE6">
        <w:tc>
          <w:tcPr>
            <w:tcW w:w="3085" w:type="dxa"/>
            <w:shd w:val="clear" w:color="auto" w:fill="auto"/>
          </w:tcPr>
          <w:p w:rsidR="00395B24" w:rsidRDefault="002C7385" w:rsidP="00BA4D46">
            <w:pPr>
              <w:pStyle w:val="Normal1linespace"/>
              <w:widowControl w:val="0"/>
              <w:jc w:val="left"/>
            </w:pPr>
            <w:r>
              <w:t>Judge:</w:t>
            </w:r>
          </w:p>
        </w:tc>
        <w:tc>
          <w:tcPr>
            <w:tcW w:w="5989" w:type="dxa"/>
            <w:shd w:val="clear" w:color="auto" w:fill="auto"/>
          </w:tcPr>
          <w:p w:rsidR="00395B24" w:rsidRDefault="002C7385" w:rsidP="00663878">
            <w:pPr>
              <w:pStyle w:val="Normal1linespace"/>
              <w:widowControl w:val="0"/>
              <w:jc w:val="left"/>
              <w:rPr>
                <w:b/>
              </w:rPr>
            </w:pPr>
            <w:r w:rsidRPr="00BA02A7">
              <w:rPr>
                <w:b/>
              </w:rPr>
              <w:fldChar w:fldCharType="begin" w:fldLock="1"/>
            </w:r>
            <w:r w:rsidRPr="00BA02A7">
              <w:rPr>
                <w:b/>
              </w:rPr>
              <w:instrText xml:space="preserve"> REF  Judge  \* MERGEFORMAT </w:instrText>
            </w:r>
            <w:r w:rsidRPr="00BA02A7">
              <w:rPr>
                <w:b/>
              </w:rPr>
              <w:fldChar w:fldCharType="separate"/>
            </w:r>
            <w:r w:rsidR="00BA02A7" w:rsidRPr="00BA02A7">
              <w:rPr>
                <w:b/>
                <w:caps/>
                <w:szCs w:val="24"/>
              </w:rPr>
              <w:t>PERRAM J</w:t>
            </w:r>
            <w:r w:rsidRPr="00BA02A7">
              <w:rPr>
                <w:b/>
              </w:rPr>
              <w:fldChar w:fldCharType="end"/>
            </w:r>
          </w:p>
        </w:tc>
      </w:tr>
      <w:tr w:rsidR="00395B24" w:rsidTr="00C47AE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7AE6">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57603A" w:rsidP="00663878">
            <w:pPr>
              <w:pStyle w:val="Normal1linespace"/>
              <w:widowControl w:val="0"/>
              <w:jc w:val="left"/>
            </w:pPr>
            <w:bookmarkStart w:id="1" w:name="JudgmentDate"/>
            <w:r>
              <w:t xml:space="preserve">10 </w:t>
            </w:r>
            <w:r w:rsidR="00274DE7">
              <w:t xml:space="preserve">November </w:t>
            </w:r>
            <w:r w:rsidR="00BA02A7">
              <w:t>2017</w:t>
            </w:r>
            <w:bookmarkEnd w:id="1"/>
          </w:p>
        </w:tc>
      </w:tr>
      <w:tr w:rsidR="00395B24" w:rsidTr="00C47AE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7AE6">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7C013A" w:rsidRPr="007C013A" w:rsidRDefault="007C013A" w:rsidP="007C013A">
            <w:pPr>
              <w:pStyle w:val="Normal1linespace"/>
              <w:widowControl w:val="0"/>
              <w:jc w:val="left"/>
            </w:pPr>
            <w:bookmarkStart w:id="2" w:name="Catchwords"/>
            <w:r>
              <w:rPr>
                <w:b/>
              </w:rPr>
              <w:t>STATUTES</w:t>
            </w:r>
            <w:r>
              <w:t xml:space="preserve"> – </w:t>
            </w:r>
            <w:r>
              <w:rPr>
                <w:i/>
              </w:rPr>
              <w:t xml:space="preserve">Anti-Money Laundering and Counter-Terrorism Financing Act 2006 </w:t>
            </w:r>
            <w:r>
              <w:t>(Cth) – where admitted contraventions by Respondents of statute</w:t>
            </w:r>
          </w:p>
          <w:p w:rsidR="007C013A" w:rsidRDefault="007C013A" w:rsidP="007C013A">
            <w:pPr>
              <w:pStyle w:val="Normal1linespace"/>
              <w:widowControl w:val="0"/>
              <w:jc w:val="left"/>
              <w:rPr>
                <w:b/>
              </w:rPr>
            </w:pPr>
          </w:p>
          <w:p w:rsidR="00395B24" w:rsidRDefault="001B1493" w:rsidP="007C013A">
            <w:pPr>
              <w:pStyle w:val="Normal1linespace"/>
              <w:widowControl w:val="0"/>
              <w:jc w:val="left"/>
            </w:pPr>
            <w:r>
              <w:rPr>
                <w:b/>
              </w:rPr>
              <w:t>P</w:t>
            </w:r>
            <w:r w:rsidR="007C013A">
              <w:rPr>
                <w:b/>
              </w:rPr>
              <w:t>RACTICE AND PROCEDURE</w:t>
            </w:r>
            <w:r>
              <w:t xml:space="preserve"> </w:t>
            </w:r>
            <w:r w:rsidR="007C013A">
              <w:t>– civil penalties – whether agreed penalty appropriate in circumstances</w:t>
            </w:r>
            <w:r w:rsidR="002C7385">
              <w:t xml:space="preserve"> </w:t>
            </w:r>
            <w:bookmarkEnd w:id="2"/>
          </w:p>
        </w:tc>
      </w:tr>
      <w:tr w:rsidR="00395B24" w:rsidTr="00C47AE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7AE6">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562BC7" w:rsidRDefault="007C013A" w:rsidP="003D4DE5">
            <w:pPr>
              <w:pStyle w:val="CasesLegislationAppealFrom"/>
              <w:spacing w:after="60"/>
            </w:pPr>
            <w:bookmarkStart w:id="3" w:name="Legislation"/>
            <w:r>
              <w:rPr>
                <w:i/>
              </w:rPr>
              <w:t xml:space="preserve">Anti-Money Laundering and Counter-Terrorism Financing Act 2006 </w:t>
            </w:r>
            <w:r>
              <w:t xml:space="preserve">(Cth) </w:t>
            </w:r>
            <w:r w:rsidR="003D4DE5">
              <w:t xml:space="preserve">Parts 2, 3, 3A, 7, ss </w:t>
            </w:r>
            <w:r w:rsidR="00543EFF">
              <w:t xml:space="preserve">3, </w:t>
            </w:r>
            <w:r w:rsidR="003D4DE5">
              <w:t>32, 41,</w:t>
            </w:r>
            <w:r w:rsidR="00C720B3">
              <w:t xml:space="preserve"> 41(2)(a),</w:t>
            </w:r>
            <w:r w:rsidR="003D4DE5">
              <w:t xml:space="preserve"> 51B,</w:t>
            </w:r>
            <w:r w:rsidR="00890310">
              <w:t xml:space="preserve"> </w:t>
            </w:r>
            <w:r w:rsidR="006E6788">
              <w:t xml:space="preserve">51B(1), 51B(1)(a), </w:t>
            </w:r>
            <w:r w:rsidR="00890310">
              <w:t>51C(1), 51E(1),</w:t>
            </w:r>
            <w:r w:rsidR="003D4DE5">
              <w:t xml:space="preserve"> 81</w:t>
            </w:r>
            <w:r w:rsidR="00715641">
              <w:t>,</w:t>
            </w:r>
            <w:r w:rsidR="000E6902">
              <w:t xml:space="preserve"> 81(1)(</w:t>
            </w:r>
            <w:r w:rsidR="006E6788">
              <w:t>a</w:t>
            </w:r>
            <w:r w:rsidR="000E6902">
              <w:t>), 81(1)(b), 82, 83, 83(1)(b),</w:t>
            </w:r>
            <w:r w:rsidR="00715641">
              <w:t xml:space="preserve"> </w:t>
            </w:r>
            <w:r w:rsidR="000E6902">
              <w:t xml:space="preserve">85, 85(2)(c), 85(3)(b), </w:t>
            </w:r>
            <w:r w:rsidR="00715641">
              <w:t>175(3)</w:t>
            </w:r>
            <w:r w:rsidR="009A07A5">
              <w:t>,</w:t>
            </w:r>
            <w:r w:rsidR="007B2934">
              <w:t xml:space="preserve"> 175(3)(a), 175(3)(b), 175(3)(c), 175(3)(d), 175(3)(e), 175(3)(f), 175(3)(g),</w:t>
            </w:r>
            <w:r w:rsidR="009A07A5">
              <w:t xml:space="preserve"> </w:t>
            </w:r>
            <w:r w:rsidR="006B40D5">
              <w:t>175(4),</w:t>
            </w:r>
            <w:r w:rsidR="0075264E">
              <w:t xml:space="preserve"> 175(6), </w:t>
            </w:r>
            <w:r w:rsidR="009A07A5">
              <w:t>229</w:t>
            </w:r>
          </w:p>
          <w:p w:rsidR="008D5E37" w:rsidRDefault="008D5E37" w:rsidP="003D4DE5">
            <w:pPr>
              <w:pStyle w:val="CasesLegislationAppealFrom"/>
              <w:spacing w:after="60"/>
            </w:pPr>
            <w:r w:rsidRPr="008D5E37">
              <w:rPr>
                <w:i/>
              </w:rPr>
              <w:t>Crimes Act 1914</w:t>
            </w:r>
            <w:r>
              <w:t xml:space="preserve"> (Cth) s 4AA</w:t>
            </w:r>
          </w:p>
          <w:p w:rsidR="009A07A5" w:rsidRDefault="00562BC7" w:rsidP="00890310">
            <w:pPr>
              <w:pStyle w:val="CasesLegislationAppealFrom"/>
              <w:spacing w:after="60"/>
            </w:pPr>
            <w:r w:rsidRPr="00A97ED2">
              <w:rPr>
                <w:i/>
              </w:rPr>
              <w:t>Financial Transaction Reports Act 1988</w:t>
            </w:r>
            <w:r>
              <w:rPr>
                <w:i/>
              </w:rPr>
              <w:t xml:space="preserve"> </w:t>
            </w:r>
            <w:r>
              <w:t>(Cth</w:t>
            </w:r>
            <w:r w:rsidR="009A07A5">
              <w:t>)</w:t>
            </w:r>
          </w:p>
          <w:p w:rsidR="00395B24" w:rsidRDefault="00831B1B" w:rsidP="009A07A5">
            <w:pPr>
              <w:pStyle w:val="CasesLegislationAppealFrom"/>
              <w:spacing w:after="60"/>
            </w:pPr>
            <w:r>
              <w:rPr>
                <w:i/>
              </w:rPr>
              <w:t>Anti-M</w:t>
            </w:r>
            <w:r w:rsidR="009A07A5" w:rsidRPr="00063A21">
              <w:rPr>
                <w:i/>
              </w:rPr>
              <w:t>oney Laundering and Counter-Terrorism Financing Rules Instrument 2007 (No.1)</w:t>
            </w:r>
            <w:r w:rsidR="009A07A5">
              <w:rPr>
                <w:i/>
              </w:rPr>
              <w:t xml:space="preserve"> </w:t>
            </w:r>
            <w:r w:rsidR="009A07A5">
              <w:t>(Cth)</w:t>
            </w:r>
            <w:r w:rsidR="002C7385">
              <w:t xml:space="preserve"> </w:t>
            </w:r>
            <w:bookmarkEnd w:id="3"/>
          </w:p>
        </w:tc>
      </w:tr>
      <w:tr w:rsidR="00395B24" w:rsidTr="00C47AE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7AE6">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E16559" w:rsidRDefault="00E16559" w:rsidP="00D82620">
            <w:pPr>
              <w:pStyle w:val="CasesLegislationAppealFrom"/>
              <w:spacing w:after="60"/>
            </w:pPr>
            <w:bookmarkStart w:id="4" w:name="Cases_Cited"/>
            <w:r>
              <w:rPr>
                <w:i/>
              </w:rPr>
              <w:t xml:space="preserve">Australian Competition and Consumer Commission v Australian Safeway Stores Pty Limited </w:t>
            </w:r>
            <w:r>
              <w:t xml:space="preserve">[1997] FCA 450; (1997) 145 ALR 36 </w:t>
            </w:r>
          </w:p>
          <w:p w:rsidR="00A33EC0" w:rsidRDefault="00A33EC0" w:rsidP="00D82620">
            <w:pPr>
              <w:pStyle w:val="CasesLegislationAppealFrom"/>
              <w:spacing w:after="60"/>
              <w:rPr>
                <w:i/>
              </w:rPr>
            </w:pPr>
            <w:r>
              <w:rPr>
                <w:i/>
              </w:rPr>
              <w:t>Australian Competition and Consumer Commission v Singtel Optus Pty Limited (No 4)</w:t>
            </w:r>
            <w:r>
              <w:t xml:space="preserve"> [2011] FCA 761; (2011) 282 ALR 246</w:t>
            </w:r>
          </w:p>
          <w:p w:rsidR="00FA0F7A" w:rsidRDefault="00D865B2" w:rsidP="00D82620">
            <w:pPr>
              <w:pStyle w:val="CasesLegislationAppealFrom"/>
              <w:spacing w:after="60"/>
            </w:pPr>
            <w:r>
              <w:rPr>
                <w:i/>
              </w:rPr>
              <w:t xml:space="preserve">Commonwealth of Australia v Director, Fair Work Building Industry Inspectorate </w:t>
            </w:r>
            <w:r>
              <w:t>[2015] HCA 46; (2015) 258 CLR 482</w:t>
            </w:r>
          </w:p>
          <w:p w:rsidR="00952B25" w:rsidRDefault="00952B25" w:rsidP="00D82620">
            <w:pPr>
              <w:pStyle w:val="CasesLegislationAppealFrom"/>
              <w:spacing w:after="60"/>
            </w:pPr>
            <w:r w:rsidRPr="00287F1E">
              <w:rPr>
                <w:i/>
              </w:rPr>
              <w:t>C</w:t>
            </w:r>
            <w:r>
              <w:rPr>
                <w:i/>
              </w:rPr>
              <w:t xml:space="preserve">onstruction, </w:t>
            </w:r>
            <w:r w:rsidRPr="00287F1E">
              <w:rPr>
                <w:i/>
              </w:rPr>
              <w:t>F</w:t>
            </w:r>
            <w:r>
              <w:rPr>
                <w:i/>
              </w:rPr>
              <w:t xml:space="preserve">orestry, </w:t>
            </w:r>
            <w:r w:rsidRPr="00287F1E">
              <w:rPr>
                <w:i/>
              </w:rPr>
              <w:t>M</w:t>
            </w:r>
            <w:r>
              <w:rPr>
                <w:i/>
              </w:rPr>
              <w:t xml:space="preserve">ining and </w:t>
            </w:r>
            <w:r w:rsidRPr="00287F1E">
              <w:rPr>
                <w:i/>
              </w:rPr>
              <w:t>E</w:t>
            </w:r>
            <w:r>
              <w:rPr>
                <w:i/>
              </w:rPr>
              <w:t xml:space="preserve">nergy </w:t>
            </w:r>
            <w:r w:rsidRPr="00287F1E">
              <w:rPr>
                <w:i/>
              </w:rPr>
              <w:t>U</w:t>
            </w:r>
            <w:r>
              <w:rPr>
                <w:i/>
              </w:rPr>
              <w:t>nion</w:t>
            </w:r>
            <w:r w:rsidRPr="00287F1E">
              <w:rPr>
                <w:i/>
              </w:rPr>
              <w:t xml:space="preserve"> v Cahill</w:t>
            </w:r>
            <w:r>
              <w:t xml:space="preserve"> [2010] FCAFC 39; (2010) 269 ALR 1</w:t>
            </w:r>
          </w:p>
          <w:p w:rsidR="00CF1F1E" w:rsidRDefault="00CF1F1E" w:rsidP="00D82620">
            <w:pPr>
              <w:pStyle w:val="CasesLegislationAppealFrom"/>
              <w:spacing w:after="60"/>
            </w:pPr>
            <w:r>
              <w:rPr>
                <w:i/>
              </w:rPr>
              <w:t xml:space="preserve">Markarian v The Queen </w:t>
            </w:r>
            <w:r>
              <w:t>[2005] HCA 25; (2005) 228 CLR 357</w:t>
            </w:r>
          </w:p>
          <w:p w:rsidR="005E7571" w:rsidRDefault="00FA0F7A" w:rsidP="005E7571">
            <w:pPr>
              <w:pStyle w:val="CasesLegislationAppealFrom"/>
              <w:spacing w:after="60"/>
            </w:pPr>
            <w:r>
              <w:rPr>
                <w:i/>
              </w:rPr>
              <w:t xml:space="preserve">Minister for Industry, Tourism &amp; Resources v Mobil Oil Australia Pty Ltd </w:t>
            </w:r>
            <w:r>
              <w:t>[2004] FCAFC 72; [2004] ATPR 41-99</w:t>
            </w:r>
            <w:r w:rsidR="005E7571">
              <w:t>3</w:t>
            </w:r>
          </w:p>
          <w:p w:rsidR="008D5E37" w:rsidRDefault="008D5E37" w:rsidP="005E7571">
            <w:pPr>
              <w:pStyle w:val="CasesLegislationAppealFrom"/>
              <w:spacing w:after="60"/>
            </w:pPr>
            <w:r w:rsidRPr="00C3161D">
              <w:rPr>
                <w:i/>
              </w:rPr>
              <w:t>Mu</w:t>
            </w:r>
            <w:r>
              <w:rPr>
                <w:i/>
              </w:rPr>
              <w:t>r</w:t>
            </w:r>
            <w:r w:rsidRPr="00C3161D">
              <w:rPr>
                <w:i/>
              </w:rPr>
              <w:t>r</w:t>
            </w:r>
            <w:r>
              <w:rPr>
                <w:i/>
              </w:rPr>
              <w:t>i</w:t>
            </w:r>
            <w:r w:rsidRPr="00C3161D">
              <w:rPr>
                <w:i/>
              </w:rPr>
              <w:t>hy v Betezy</w:t>
            </w:r>
            <w:r>
              <w:rPr>
                <w:i/>
              </w:rPr>
              <w:t>.com.au</w:t>
            </w:r>
            <w:r w:rsidRPr="00C3161D">
              <w:rPr>
                <w:i/>
              </w:rPr>
              <w:t xml:space="preserve"> Pty Ltd (No 2)</w:t>
            </w:r>
            <w:r>
              <w:t xml:space="preserve"> </w:t>
            </w:r>
            <w:r w:rsidR="006B40D5">
              <w:t xml:space="preserve">[2013] FCA 1146; </w:t>
            </w:r>
            <w:r>
              <w:t>(2013) 221 FCR 118</w:t>
            </w:r>
          </w:p>
          <w:p w:rsidR="00E12A45" w:rsidRDefault="00E12A45" w:rsidP="005E7571">
            <w:pPr>
              <w:pStyle w:val="CasesLegislationAppealFrom"/>
              <w:spacing w:after="60"/>
            </w:pPr>
            <w:r>
              <w:rPr>
                <w:i/>
              </w:rPr>
              <w:lastRenderedPageBreak/>
              <w:t xml:space="preserve">R v Kilic </w:t>
            </w:r>
            <w:r>
              <w:t>[2016] HCA 48; (2016) 259 CLR 256</w:t>
            </w:r>
          </w:p>
          <w:p w:rsidR="00964133" w:rsidRDefault="00964133" w:rsidP="005E7571">
            <w:pPr>
              <w:pStyle w:val="CasesLegislationAppealFrom"/>
              <w:spacing w:after="60"/>
            </w:pPr>
            <w:r>
              <w:rPr>
                <w:i/>
              </w:rPr>
              <w:t>Singtel Optus Pty Ltd v Australian Competition and Consumer Commission</w:t>
            </w:r>
            <w:r>
              <w:t xml:space="preserve"> [2012] FCAFC 20; (2012) 287 ALR 249</w:t>
            </w:r>
          </w:p>
          <w:p w:rsidR="005E7571" w:rsidRDefault="005E7571" w:rsidP="000974FC">
            <w:pPr>
              <w:pStyle w:val="CasesLegislationAppealFrom"/>
              <w:spacing w:after="60"/>
            </w:pPr>
            <w:r>
              <w:rPr>
                <w:i/>
              </w:rPr>
              <w:t xml:space="preserve">Trade Practices Commission v CSR Limited </w:t>
            </w:r>
            <w:r>
              <w:t xml:space="preserve">[1990] FCA </w:t>
            </w:r>
            <w:r w:rsidR="000974FC">
              <w:t>521</w:t>
            </w:r>
            <w:r>
              <w:t>; (1991) ATPR 41-076</w:t>
            </w:r>
            <w:bookmarkEnd w:id="4"/>
          </w:p>
        </w:tc>
      </w:tr>
      <w:tr w:rsidR="00C47AE6" w:rsidRPr="00C47AE6" w:rsidTr="00C47AE6">
        <w:tc>
          <w:tcPr>
            <w:tcW w:w="3085" w:type="dxa"/>
            <w:shd w:val="clear" w:color="auto" w:fill="auto"/>
          </w:tcPr>
          <w:p w:rsidR="00C47AE6" w:rsidRPr="00C47AE6" w:rsidRDefault="00C47AE6" w:rsidP="00C47AE6">
            <w:pPr>
              <w:pStyle w:val="Normal1linespace"/>
              <w:jc w:val="left"/>
            </w:pPr>
          </w:p>
        </w:tc>
        <w:tc>
          <w:tcPr>
            <w:tcW w:w="5989" w:type="dxa"/>
            <w:shd w:val="clear" w:color="auto" w:fill="auto"/>
          </w:tcPr>
          <w:p w:rsidR="00C47AE6" w:rsidRPr="00C47AE6" w:rsidRDefault="00C47AE6" w:rsidP="00C47AE6">
            <w:pPr>
              <w:pStyle w:val="Normal1linespace"/>
              <w:jc w:val="left"/>
            </w:pPr>
          </w:p>
        </w:tc>
      </w:tr>
      <w:tr w:rsidR="00C47AE6" w:rsidRPr="00C47AE6" w:rsidTr="00C47AE6">
        <w:tc>
          <w:tcPr>
            <w:tcW w:w="3085" w:type="dxa"/>
            <w:shd w:val="clear" w:color="auto" w:fill="auto"/>
          </w:tcPr>
          <w:p w:rsidR="00C47AE6" w:rsidRPr="00C47AE6" w:rsidRDefault="00C47AE6" w:rsidP="00C47AE6">
            <w:pPr>
              <w:pStyle w:val="Normal1linespace"/>
              <w:jc w:val="left"/>
            </w:pPr>
            <w:bookmarkStart w:id="5" w:name="CounselDate" w:colFirst="0" w:colLast="2"/>
            <w:r w:rsidRPr="00C47AE6">
              <w:t>Date of hearing:</w:t>
            </w:r>
          </w:p>
        </w:tc>
        <w:tc>
          <w:tcPr>
            <w:tcW w:w="5989" w:type="dxa"/>
            <w:shd w:val="clear" w:color="auto" w:fill="auto"/>
          </w:tcPr>
          <w:p w:rsidR="00C47AE6" w:rsidRPr="00C47AE6" w:rsidRDefault="001B1493" w:rsidP="001B1493">
            <w:pPr>
              <w:pStyle w:val="Normal1linespace"/>
              <w:jc w:val="left"/>
            </w:pPr>
            <w:bookmarkStart w:id="6" w:name="HearingDate"/>
            <w:r>
              <w:t>16 March 2017</w:t>
            </w:r>
            <w:bookmarkEnd w:id="6"/>
          </w:p>
        </w:tc>
      </w:tr>
      <w:tr w:rsidR="00C47AE6" w:rsidRPr="00C47AE6" w:rsidTr="00C47AE6">
        <w:tc>
          <w:tcPr>
            <w:tcW w:w="3085" w:type="dxa"/>
            <w:shd w:val="clear" w:color="auto" w:fill="auto"/>
          </w:tcPr>
          <w:p w:rsidR="00C47AE6" w:rsidRPr="00C47AE6" w:rsidRDefault="00C47AE6" w:rsidP="00C47AE6">
            <w:pPr>
              <w:pStyle w:val="Normal1linespace"/>
              <w:jc w:val="left"/>
            </w:pPr>
          </w:p>
        </w:tc>
        <w:tc>
          <w:tcPr>
            <w:tcW w:w="5989" w:type="dxa"/>
            <w:shd w:val="clear" w:color="auto" w:fill="auto"/>
          </w:tcPr>
          <w:p w:rsidR="00C47AE6" w:rsidRPr="00C47AE6" w:rsidRDefault="00C47AE6" w:rsidP="00C47AE6">
            <w:pPr>
              <w:pStyle w:val="Normal1linespace"/>
              <w:jc w:val="left"/>
            </w:pPr>
          </w:p>
        </w:tc>
      </w:tr>
      <w:bookmarkEnd w:id="5"/>
      <w:tr w:rsidR="00C47AE6" w:rsidTr="00C47AE6">
        <w:tc>
          <w:tcPr>
            <w:tcW w:w="3085" w:type="dxa"/>
            <w:shd w:val="clear" w:color="auto" w:fill="auto"/>
          </w:tcPr>
          <w:p w:rsidR="00C47AE6" w:rsidRDefault="00C47AE6" w:rsidP="00C47AE6">
            <w:pPr>
              <w:pStyle w:val="Normal1linespace"/>
              <w:widowControl w:val="0"/>
              <w:jc w:val="left"/>
            </w:pPr>
            <w:r>
              <w:t>Registry:</w:t>
            </w:r>
          </w:p>
        </w:tc>
        <w:tc>
          <w:tcPr>
            <w:tcW w:w="5989" w:type="dxa"/>
            <w:shd w:val="clear" w:color="auto" w:fill="auto"/>
          </w:tcPr>
          <w:p w:rsidR="00C47AE6" w:rsidRPr="00F17599" w:rsidRDefault="00FA6E49" w:rsidP="00C47AE6">
            <w:pPr>
              <w:pStyle w:val="Normal1linespace"/>
              <w:widowControl w:val="0"/>
              <w:jc w:val="left"/>
            </w:pPr>
            <w:r>
              <w:fldChar w:fldCharType="begin"/>
            </w:r>
            <w:r>
              <w:instrText xml:space="preserve"> DOCPROPERTY  Registry </w:instrText>
            </w:r>
            <w:r>
              <w:fldChar w:fldCharType="separate"/>
            </w:r>
            <w:r w:rsidR="00C47AE6">
              <w:t>New South Wales</w:t>
            </w:r>
            <w:r>
              <w:fldChar w:fldCharType="end"/>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r>
              <w:t>Division:</w:t>
            </w:r>
          </w:p>
        </w:tc>
        <w:tc>
          <w:tcPr>
            <w:tcW w:w="5989" w:type="dxa"/>
            <w:shd w:val="clear" w:color="auto" w:fill="auto"/>
          </w:tcPr>
          <w:p w:rsidR="00C47AE6" w:rsidRPr="00F17599" w:rsidRDefault="00FA6E49" w:rsidP="00C47AE6">
            <w:pPr>
              <w:pStyle w:val="Normal1linespace"/>
              <w:widowControl w:val="0"/>
              <w:jc w:val="left"/>
            </w:pPr>
            <w:r>
              <w:fldChar w:fldCharType="begin"/>
            </w:r>
            <w:r>
              <w:instrText xml:space="preserve"> DOCPROPERTY  Division </w:instrText>
            </w:r>
            <w:r>
              <w:fldChar w:fldCharType="separate"/>
            </w:r>
            <w:r w:rsidR="00C47AE6">
              <w:t>General Division</w:t>
            </w:r>
            <w:r>
              <w:fldChar w:fldCharType="end"/>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Pr="00F17599" w:rsidRDefault="00C47AE6" w:rsidP="00C47AE6">
            <w:pPr>
              <w:pStyle w:val="Normal1linespace"/>
              <w:widowControl w:val="0"/>
              <w:jc w:val="left"/>
              <w:rPr>
                <w:b/>
              </w:rPr>
            </w:pPr>
          </w:p>
        </w:tc>
      </w:tr>
      <w:tr w:rsidR="00C47AE6" w:rsidRPr="00C47AE6" w:rsidTr="00C47AE6">
        <w:tc>
          <w:tcPr>
            <w:tcW w:w="3085" w:type="dxa"/>
            <w:shd w:val="clear" w:color="auto" w:fill="auto"/>
          </w:tcPr>
          <w:p w:rsidR="00C47AE6" w:rsidRPr="009F15C4" w:rsidRDefault="00C47AE6" w:rsidP="00C47AE6">
            <w:pPr>
              <w:pStyle w:val="Normal1linespace"/>
              <w:widowControl w:val="0"/>
              <w:jc w:val="left"/>
            </w:pPr>
            <w:r w:rsidRPr="009F15C4">
              <w:t>National Practice Area:</w:t>
            </w:r>
          </w:p>
        </w:tc>
        <w:tc>
          <w:tcPr>
            <w:tcW w:w="5989" w:type="dxa"/>
            <w:shd w:val="clear" w:color="auto" w:fill="auto"/>
          </w:tcPr>
          <w:p w:rsidR="00C47AE6" w:rsidRPr="009F15C4" w:rsidRDefault="009F15C4" w:rsidP="009F15C4">
            <w:pPr>
              <w:pStyle w:val="Normal1linespace"/>
              <w:widowControl w:val="0"/>
              <w:jc w:val="left"/>
              <w:rPr>
                <w:b/>
              </w:rPr>
            </w:pPr>
            <w:r w:rsidRPr="009F15C4">
              <w:t>Commercial and Corporations</w:t>
            </w:r>
            <w:r w:rsidRPr="009F15C4">
              <w:rPr>
                <w:b/>
              </w:rPr>
              <w:t xml:space="preserve"> </w:t>
            </w:r>
          </w:p>
        </w:tc>
      </w:tr>
      <w:tr w:rsidR="00C47AE6" w:rsidTr="00C47AE6">
        <w:tc>
          <w:tcPr>
            <w:tcW w:w="3085" w:type="dxa"/>
            <w:shd w:val="clear" w:color="auto" w:fill="auto"/>
          </w:tcPr>
          <w:p w:rsidR="00C47AE6" w:rsidRPr="009F15C4" w:rsidRDefault="00C47AE6" w:rsidP="00C47AE6">
            <w:pPr>
              <w:pStyle w:val="Normal1linespace"/>
              <w:widowControl w:val="0"/>
              <w:jc w:val="left"/>
            </w:pPr>
          </w:p>
        </w:tc>
        <w:tc>
          <w:tcPr>
            <w:tcW w:w="5989" w:type="dxa"/>
            <w:shd w:val="clear" w:color="auto" w:fill="auto"/>
          </w:tcPr>
          <w:p w:rsidR="00C47AE6" w:rsidRPr="009F15C4" w:rsidRDefault="00C47AE6" w:rsidP="00C47AE6">
            <w:pPr>
              <w:pStyle w:val="Normal1linespace"/>
              <w:widowControl w:val="0"/>
              <w:jc w:val="left"/>
            </w:pPr>
          </w:p>
        </w:tc>
      </w:tr>
      <w:tr w:rsidR="00C47AE6" w:rsidRPr="00C47AE6" w:rsidTr="00C47AE6">
        <w:tc>
          <w:tcPr>
            <w:tcW w:w="3085" w:type="dxa"/>
            <w:shd w:val="clear" w:color="auto" w:fill="auto"/>
          </w:tcPr>
          <w:p w:rsidR="00C47AE6" w:rsidRPr="009F15C4" w:rsidRDefault="00C47AE6" w:rsidP="00C47AE6">
            <w:pPr>
              <w:pStyle w:val="Normal1linespace"/>
              <w:widowControl w:val="0"/>
              <w:jc w:val="left"/>
            </w:pPr>
            <w:r w:rsidRPr="009F15C4">
              <w:t>Sub-area:</w:t>
            </w:r>
          </w:p>
        </w:tc>
        <w:tc>
          <w:tcPr>
            <w:tcW w:w="5989" w:type="dxa"/>
            <w:shd w:val="clear" w:color="auto" w:fill="auto"/>
          </w:tcPr>
          <w:p w:rsidR="00C47AE6" w:rsidRPr="009F15C4" w:rsidRDefault="009F15C4" w:rsidP="009F15C4">
            <w:pPr>
              <w:pStyle w:val="Normal1linespace"/>
              <w:widowControl w:val="0"/>
              <w:jc w:val="left"/>
            </w:pPr>
            <w:r w:rsidRPr="009F15C4">
              <w:t xml:space="preserve">Economic Regulator, Competition and Access </w:t>
            </w:r>
          </w:p>
        </w:tc>
      </w:tr>
      <w:tr w:rsidR="00C47AE6" w:rsidTr="00C47AE6">
        <w:tc>
          <w:tcPr>
            <w:tcW w:w="3085" w:type="dxa"/>
            <w:shd w:val="clear" w:color="auto" w:fill="auto"/>
          </w:tcPr>
          <w:p w:rsidR="00C47AE6" w:rsidRPr="009F15C4" w:rsidRDefault="00C47AE6" w:rsidP="00C47AE6">
            <w:pPr>
              <w:pStyle w:val="Normal1linespace"/>
              <w:widowControl w:val="0"/>
              <w:jc w:val="left"/>
            </w:pPr>
          </w:p>
        </w:tc>
        <w:tc>
          <w:tcPr>
            <w:tcW w:w="5989" w:type="dxa"/>
            <w:shd w:val="clear" w:color="auto" w:fill="auto"/>
          </w:tcPr>
          <w:p w:rsidR="00C47AE6" w:rsidRPr="009F15C4" w:rsidRDefault="00C47AE6" w:rsidP="00C47AE6">
            <w:pPr>
              <w:pStyle w:val="Normal1linespace"/>
              <w:widowControl w:val="0"/>
              <w:jc w:val="left"/>
              <w:rPr>
                <w:b/>
              </w:rPr>
            </w:pPr>
          </w:p>
        </w:tc>
      </w:tr>
      <w:tr w:rsidR="00C47AE6" w:rsidTr="00C47AE6">
        <w:tc>
          <w:tcPr>
            <w:tcW w:w="3085" w:type="dxa"/>
            <w:shd w:val="clear" w:color="auto" w:fill="auto"/>
          </w:tcPr>
          <w:p w:rsidR="00C47AE6" w:rsidRPr="009F15C4" w:rsidRDefault="00C47AE6" w:rsidP="00C47AE6">
            <w:pPr>
              <w:pStyle w:val="Normal1linespace"/>
              <w:widowControl w:val="0"/>
              <w:jc w:val="left"/>
            </w:pPr>
            <w:r w:rsidRPr="009F15C4">
              <w:t>Category:</w:t>
            </w:r>
          </w:p>
        </w:tc>
        <w:tc>
          <w:tcPr>
            <w:tcW w:w="5989" w:type="dxa"/>
            <w:shd w:val="clear" w:color="auto" w:fill="auto"/>
          </w:tcPr>
          <w:p w:rsidR="00C47AE6" w:rsidRPr="009F15C4" w:rsidRDefault="00C47AE6" w:rsidP="009F15C4">
            <w:pPr>
              <w:pStyle w:val="Normal1linespace"/>
              <w:widowControl w:val="0"/>
              <w:jc w:val="left"/>
            </w:pPr>
            <w:r w:rsidRPr="009F15C4">
              <w:t>Catchwords</w:t>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r>
              <w:t>Number of paragraphs:</w:t>
            </w:r>
          </w:p>
        </w:tc>
        <w:tc>
          <w:tcPr>
            <w:tcW w:w="5989" w:type="dxa"/>
            <w:shd w:val="clear" w:color="auto" w:fill="auto"/>
          </w:tcPr>
          <w:p w:rsidR="00C47AE6" w:rsidRDefault="00257D3F" w:rsidP="004E7EAF">
            <w:pPr>
              <w:pStyle w:val="Normal1linespace"/>
              <w:widowControl w:val="0"/>
              <w:jc w:val="left"/>
            </w:pPr>
            <w:bookmarkStart w:id="7" w:name="PlaceCategoryParagraphs"/>
            <w:r>
              <w:t>5</w:t>
            </w:r>
            <w:r w:rsidR="00E146FD">
              <w:t>4</w:t>
            </w:r>
            <w:bookmarkEnd w:id="7"/>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bookmarkStart w:id="8" w:name="Counsel" w:colFirst="0" w:colLast="2"/>
            <w:r>
              <w:t>Counsel for the Applicant:</w:t>
            </w:r>
          </w:p>
        </w:tc>
        <w:tc>
          <w:tcPr>
            <w:tcW w:w="5989" w:type="dxa"/>
            <w:shd w:val="clear" w:color="auto" w:fill="auto"/>
          </w:tcPr>
          <w:p w:rsidR="00C47AE6" w:rsidRDefault="001B1493" w:rsidP="00C47AE6">
            <w:pPr>
              <w:pStyle w:val="Normal1linespace"/>
              <w:widowControl w:val="0"/>
              <w:jc w:val="left"/>
            </w:pPr>
            <w:bookmarkStart w:id="9" w:name="AppCounsel"/>
            <w:bookmarkEnd w:id="9"/>
            <w:r>
              <w:t xml:space="preserve">Mr S White SC with Mr D Tynan and Ms </w:t>
            </w:r>
            <w:r w:rsidR="00622EB1">
              <w:t xml:space="preserve">A </w:t>
            </w:r>
            <w:r>
              <w:t>Avery-Williams</w:t>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r>
              <w:t>Solicitor for the Applicant:</w:t>
            </w:r>
          </w:p>
        </w:tc>
        <w:tc>
          <w:tcPr>
            <w:tcW w:w="5989" w:type="dxa"/>
            <w:shd w:val="clear" w:color="auto" w:fill="auto"/>
          </w:tcPr>
          <w:p w:rsidR="00C47AE6" w:rsidRDefault="00C768B9" w:rsidP="00C47AE6">
            <w:pPr>
              <w:pStyle w:val="Normal1linespace"/>
              <w:widowControl w:val="0"/>
              <w:jc w:val="left"/>
            </w:pPr>
            <w:r>
              <w:t>Australian Government Solicitor</w:t>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r>
              <w:t>Counsel for the Respondent</w:t>
            </w:r>
            <w:r w:rsidR="00FC722F">
              <w:t>s</w:t>
            </w:r>
            <w:r>
              <w:t>:</w:t>
            </w:r>
          </w:p>
        </w:tc>
        <w:tc>
          <w:tcPr>
            <w:tcW w:w="5989" w:type="dxa"/>
            <w:shd w:val="clear" w:color="auto" w:fill="auto"/>
          </w:tcPr>
          <w:p w:rsidR="00C47AE6" w:rsidRDefault="001B1493" w:rsidP="00C47AE6">
            <w:pPr>
              <w:pStyle w:val="Normal1linespace"/>
              <w:widowControl w:val="0"/>
              <w:jc w:val="left"/>
            </w:pPr>
            <w:r>
              <w:t>Mr J Sheahan</w:t>
            </w:r>
            <w:r w:rsidR="00622EB1">
              <w:t xml:space="preserve"> QC</w:t>
            </w:r>
            <w:r>
              <w:t xml:space="preserve"> with Ms </w:t>
            </w:r>
            <w:r w:rsidR="00622EB1">
              <w:t xml:space="preserve">S </w:t>
            </w:r>
            <w:r>
              <w:t>Mirzabegian</w:t>
            </w:r>
          </w:p>
        </w:tc>
      </w:tr>
      <w:tr w:rsidR="00C47AE6" w:rsidTr="00C47AE6">
        <w:tc>
          <w:tcPr>
            <w:tcW w:w="3085" w:type="dxa"/>
            <w:shd w:val="clear" w:color="auto" w:fill="auto"/>
          </w:tcPr>
          <w:p w:rsidR="00C47AE6" w:rsidRDefault="00C47AE6" w:rsidP="00C47AE6">
            <w:pPr>
              <w:pStyle w:val="Normal1linespace"/>
              <w:widowControl w:val="0"/>
              <w:jc w:val="left"/>
            </w:pPr>
          </w:p>
        </w:tc>
        <w:tc>
          <w:tcPr>
            <w:tcW w:w="5989" w:type="dxa"/>
            <w:shd w:val="clear" w:color="auto" w:fill="auto"/>
          </w:tcPr>
          <w:p w:rsidR="00C47AE6" w:rsidRDefault="00C47AE6" w:rsidP="00C47AE6">
            <w:pPr>
              <w:pStyle w:val="Normal1linespace"/>
              <w:widowControl w:val="0"/>
              <w:jc w:val="left"/>
            </w:pPr>
          </w:p>
        </w:tc>
      </w:tr>
      <w:tr w:rsidR="00C47AE6" w:rsidTr="00C47AE6">
        <w:tc>
          <w:tcPr>
            <w:tcW w:w="3085" w:type="dxa"/>
            <w:shd w:val="clear" w:color="auto" w:fill="auto"/>
          </w:tcPr>
          <w:p w:rsidR="00C47AE6" w:rsidRDefault="00C47AE6" w:rsidP="00C47AE6">
            <w:pPr>
              <w:pStyle w:val="Normal1linespace"/>
              <w:widowControl w:val="0"/>
              <w:jc w:val="left"/>
            </w:pPr>
            <w:r>
              <w:t>Solicitor for the Respondent</w:t>
            </w:r>
            <w:r w:rsidR="00FC722F">
              <w:t>s</w:t>
            </w:r>
            <w:r>
              <w:t>:</w:t>
            </w:r>
          </w:p>
        </w:tc>
        <w:tc>
          <w:tcPr>
            <w:tcW w:w="5989" w:type="dxa"/>
            <w:shd w:val="clear" w:color="auto" w:fill="auto"/>
          </w:tcPr>
          <w:p w:rsidR="00C47AE6" w:rsidRDefault="00C768B9" w:rsidP="00C47AE6">
            <w:pPr>
              <w:pStyle w:val="Normal1linespace"/>
              <w:widowControl w:val="0"/>
              <w:jc w:val="left"/>
            </w:pPr>
            <w:r>
              <w:t>Herbert Smith Freehills</w:t>
            </w:r>
          </w:p>
        </w:tc>
      </w:tr>
      <w:bookmarkEnd w:id="8"/>
    </w:tbl>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BA02A7" w:rsidP="0027159C">
            <w:pPr>
              <w:pStyle w:val="NormalHeadings"/>
              <w:jc w:val="right"/>
            </w:pPr>
            <w:bookmarkStart w:id="10" w:name="FileNo"/>
            <w:r>
              <w:t>NSD 852</w:t>
            </w:r>
            <w:r w:rsidR="0027159C">
              <w:t xml:space="preserve"> of </w:t>
            </w:r>
            <w:r>
              <w:t>2015</w:t>
            </w:r>
            <w:bookmarkEnd w:id="10"/>
          </w:p>
        </w:tc>
      </w:tr>
      <w:tr w:rsidR="00A76C13" w:rsidTr="00C4091A">
        <w:tc>
          <w:tcPr>
            <w:tcW w:w="9242" w:type="dxa"/>
            <w:gridSpan w:val="3"/>
          </w:tcPr>
          <w:p w:rsidR="00A76C13" w:rsidRPr="00A76C13" w:rsidRDefault="00BA02A7" w:rsidP="00BA02A7">
            <w:pPr>
              <w:pStyle w:val="NormalHeadings"/>
              <w:jc w:val="left"/>
            </w:pPr>
            <w:bookmarkStart w:id="11" w:name="InTheMatterOf"/>
            <w:r>
              <w:t xml:space="preserve"> </w:t>
            </w:r>
            <w:bookmarkEnd w:id="11"/>
          </w:p>
        </w:tc>
      </w:tr>
      <w:tr w:rsidR="00A46CCC" w:rsidTr="00C4091A">
        <w:trPr>
          <w:trHeight w:val="386"/>
        </w:trPr>
        <w:tc>
          <w:tcPr>
            <w:tcW w:w="2376" w:type="dxa"/>
          </w:tcPr>
          <w:p w:rsidR="00A46CCC" w:rsidRDefault="00A46CCC" w:rsidP="00C4091A">
            <w:pPr>
              <w:pStyle w:val="NormalHeadings"/>
              <w:jc w:val="left"/>
              <w:rPr>
                <w:caps/>
                <w:szCs w:val="24"/>
              </w:rPr>
            </w:pPr>
            <w:bookmarkStart w:id="12" w:name="Parties"/>
            <w:r>
              <w:rPr>
                <w:caps/>
                <w:szCs w:val="24"/>
              </w:rPr>
              <w:t>BETWEEN:</w:t>
            </w:r>
          </w:p>
        </w:tc>
        <w:tc>
          <w:tcPr>
            <w:tcW w:w="6866" w:type="dxa"/>
            <w:gridSpan w:val="2"/>
          </w:tcPr>
          <w:p w:rsidR="00BA02A7" w:rsidRDefault="00BA02A7" w:rsidP="00BA02A7">
            <w:pPr>
              <w:pStyle w:val="NormalHeadings"/>
              <w:jc w:val="left"/>
            </w:pPr>
            <w:bookmarkStart w:id="13" w:name="Applicant"/>
            <w:r>
              <w:t>CHIEF EXECUTIVE OFFICER OF AUSTRALIAN TRANSACTION REPORTS AND ANALYSIS CENTRE</w:t>
            </w:r>
          </w:p>
          <w:p w:rsidR="00BA02A7" w:rsidRDefault="00BA02A7" w:rsidP="00BA02A7">
            <w:pPr>
              <w:pStyle w:val="PartyType"/>
            </w:pPr>
            <w:r>
              <w:t>Applicant</w:t>
            </w:r>
          </w:p>
          <w:bookmarkEnd w:id="13"/>
          <w:p w:rsidR="00A46CCC" w:rsidRPr="006555B4" w:rsidRDefault="00A46CCC" w:rsidP="00C4091A">
            <w:pPr>
              <w:pStyle w:val="NormalHeadings"/>
              <w:jc w:val="left"/>
            </w:pPr>
          </w:p>
        </w:tc>
      </w:tr>
      <w:tr w:rsidR="00A46CCC" w:rsidTr="00C4091A">
        <w:trPr>
          <w:trHeight w:val="386"/>
        </w:trPr>
        <w:tc>
          <w:tcPr>
            <w:tcW w:w="2376" w:type="dxa"/>
          </w:tcPr>
          <w:p w:rsidR="00A46CCC" w:rsidRDefault="00A46CCC" w:rsidP="00C4091A">
            <w:pPr>
              <w:pStyle w:val="NormalHeadings"/>
              <w:jc w:val="left"/>
              <w:rPr>
                <w:caps/>
                <w:szCs w:val="24"/>
              </w:rPr>
            </w:pPr>
            <w:r>
              <w:rPr>
                <w:caps/>
                <w:szCs w:val="24"/>
              </w:rPr>
              <w:t>AND:</w:t>
            </w:r>
          </w:p>
        </w:tc>
        <w:tc>
          <w:tcPr>
            <w:tcW w:w="6866" w:type="dxa"/>
            <w:gridSpan w:val="2"/>
          </w:tcPr>
          <w:p w:rsidR="00BA02A7" w:rsidRDefault="00BA02A7" w:rsidP="00BA02A7">
            <w:pPr>
              <w:pStyle w:val="NormalHeadings"/>
              <w:jc w:val="left"/>
            </w:pPr>
            <w:bookmarkStart w:id="14" w:name="Respondent"/>
            <w:r>
              <w:t>TAB LIMITED</w:t>
            </w:r>
          </w:p>
          <w:p w:rsidR="00BA02A7" w:rsidRDefault="008C04E5" w:rsidP="00BA02A7">
            <w:pPr>
              <w:pStyle w:val="PartyType"/>
            </w:pPr>
            <w:r>
              <w:t xml:space="preserve">First </w:t>
            </w:r>
            <w:r w:rsidR="00BA02A7">
              <w:t>Respondent</w:t>
            </w:r>
          </w:p>
          <w:p w:rsidR="008C04E5" w:rsidRDefault="008C04E5" w:rsidP="00BA02A7">
            <w:pPr>
              <w:pStyle w:val="PartyType"/>
            </w:pPr>
          </w:p>
          <w:p w:rsidR="008C04E5" w:rsidRDefault="008C04E5" w:rsidP="00BA02A7">
            <w:pPr>
              <w:pStyle w:val="PartyType"/>
              <w:rPr>
                <w:b/>
              </w:rPr>
            </w:pPr>
            <w:r>
              <w:rPr>
                <w:b/>
              </w:rPr>
              <w:t>TABCORP HOLDINGS LIMITED</w:t>
            </w:r>
          </w:p>
          <w:p w:rsidR="008C04E5" w:rsidRDefault="008C04E5" w:rsidP="00BA02A7">
            <w:pPr>
              <w:pStyle w:val="PartyType"/>
            </w:pPr>
            <w:r>
              <w:t>Second Respondent</w:t>
            </w:r>
          </w:p>
          <w:p w:rsidR="008C04E5" w:rsidRDefault="008C04E5" w:rsidP="00BA02A7">
            <w:pPr>
              <w:pStyle w:val="PartyType"/>
            </w:pPr>
          </w:p>
          <w:p w:rsidR="008C04E5" w:rsidRDefault="008C04E5" w:rsidP="00BA02A7">
            <w:pPr>
              <w:pStyle w:val="PartyType"/>
              <w:rPr>
                <w:b/>
              </w:rPr>
            </w:pPr>
            <w:r>
              <w:rPr>
                <w:b/>
              </w:rPr>
              <w:t>TABCORP WAGERING (VIC) PTY LTD</w:t>
            </w:r>
          </w:p>
          <w:p w:rsidR="00A46CCC" w:rsidRPr="006555B4" w:rsidRDefault="008C04E5" w:rsidP="008C04E5">
            <w:pPr>
              <w:pStyle w:val="PartyType"/>
            </w:pPr>
            <w:r>
              <w:t>Third Respondent</w:t>
            </w:r>
            <w:bookmarkEnd w:id="14"/>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BA02A7">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BA02A7">
            <w:pPr>
              <w:pStyle w:val="NormalHeadings"/>
              <w:jc w:val="left"/>
              <w:rPr>
                <w:caps/>
                <w:szCs w:val="24"/>
              </w:rPr>
            </w:pPr>
            <w:bookmarkStart w:id="17" w:name="Judge"/>
            <w:r>
              <w:rPr>
                <w:caps/>
                <w:szCs w:val="24"/>
              </w:rPr>
              <w:t>PERRAM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F68F6" w:rsidP="00EF68F6">
            <w:pPr>
              <w:pStyle w:val="NormalHeadings"/>
              <w:jc w:val="left"/>
              <w:rPr>
                <w:caps/>
                <w:szCs w:val="24"/>
              </w:rPr>
            </w:pPr>
            <w:bookmarkStart w:id="18" w:name="Judgment_Dated"/>
            <w:r>
              <w:rPr>
                <w:caps/>
                <w:szCs w:val="24"/>
              </w:rPr>
              <w:t>16 MARCH</w:t>
            </w:r>
            <w:r w:rsidR="001B1493">
              <w:rPr>
                <w:caps/>
                <w:szCs w:val="24"/>
              </w:rPr>
              <w:t xml:space="preserve"> 2</w:t>
            </w:r>
            <w:r w:rsidR="00BA02A7">
              <w:rPr>
                <w:caps/>
                <w:szCs w:val="24"/>
              </w:rPr>
              <w:t>017</w:t>
            </w:r>
            <w:bookmarkEnd w:id="18"/>
          </w:p>
        </w:tc>
      </w:tr>
    </w:tbl>
    <w:p w:rsidR="00395B24" w:rsidRDefault="00395B24">
      <w:pPr>
        <w:pStyle w:val="NormalHeadings"/>
        <w:rPr>
          <w:b w:val="0"/>
        </w:rPr>
      </w:pPr>
    </w:p>
    <w:p w:rsidR="008D1617" w:rsidRDefault="008D1617">
      <w:pPr>
        <w:pStyle w:val="NormalHeadings"/>
        <w:rPr>
          <w:b w:val="0"/>
        </w:rPr>
      </w:pPr>
    </w:p>
    <w:p w:rsidR="00EF68F6" w:rsidRPr="00D71C1E" w:rsidRDefault="00EF68F6" w:rsidP="00EF68F6">
      <w:pPr>
        <w:tabs>
          <w:tab w:val="left" w:pos="-720"/>
        </w:tabs>
        <w:suppressAutoHyphens/>
        <w:ind w:right="95"/>
        <w:rPr>
          <w:spacing w:val="-3"/>
        </w:rPr>
      </w:pPr>
      <w:r w:rsidRPr="00D71C1E">
        <w:rPr>
          <w:b/>
          <w:spacing w:val="-3"/>
        </w:rPr>
        <w:t xml:space="preserve">THE COURT </w:t>
      </w:r>
      <w:r>
        <w:rPr>
          <w:b/>
          <w:spacing w:val="-3"/>
        </w:rPr>
        <w:t>DECLARES</w:t>
      </w:r>
      <w:r w:rsidRPr="00D71C1E">
        <w:rPr>
          <w:b/>
          <w:spacing w:val="-3"/>
        </w:rPr>
        <w:t xml:space="preserve"> THAT:</w:t>
      </w:r>
    </w:p>
    <w:p w:rsidR="00EF68F6" w:rsidRPr="008340E3" w:rsidRDefault="00EF68F6" w:rsidP="00D42725">
      <w:pPr>
        <w:pStyle w:val="Order1"/>
      </w:pPr>
      <w:r w:rsidRPr="008340E3">
        <w:t xml:space="preserve">The First Respondent, Tab Limited (TAB) engaged in: </w:t>
      </w:r>
    </w:p>
    <w:p w:rsidR="00EF68F6" w:rsidRPr="008340E3" w:rsidRDefault="00EF68F6" w:rsidP="00D42725">
      <w:pPr>
        <w:pStyle w:val="Order2"/>
      </w:pPr>
      <w:r w:rsidRPr="008340E3">
        <w:t xml:space="preserve">a contravention of s 51B(1)(a) of the </w:t>
      </w:r>
      <w:r w:rsidRPr="00543EFF">
        <w:rPr>
          <w:i/>
        </w:rPr>
        <w:t>Anti-Money Laundering and Counter-Terrorism Financing Act 2006</w:t>
      </w:r>
      <w:r w:rsidRPr="008340E3">
        <w:t xml:space="preserve"> (Cth) (</w:t>
      </w:r>
      <w:r w:rsidRPr="00543EFF">
        <w:rPr>
          <w:b/>
        </w:rPr>
        <w:t>Act</w:t>
      </w:r>
      <w:r w:rsidRPr="008340E3">
        <w:t>) in November 2011 by failing to apply in writing to the Applicant by 29 November 2011 for enrolment as a reporting entity.</w:t>
      </w:r>
    </w:p>
    <w:p w:rsidR="00EF68F6" w:rsidRPr="008340E3" w:rsidRDefault="00EF68F6" w:rsidP="00D42725">
      <w:pPr>
        <w:pStyle w:val="Order2"/>
      </w:pPr>
      <w:r w:rsidRPr="008340E3">
        <w:t>contraventions of s 41(2)(a) of the Act between July 2010 and August 2014 by failing to give suspicious matter reports to the Applicant within the timeframe stipulated in s 41(2)(a) in respect of:</w:t>
      </w:r>
    </w:p>
    <w:p w:rsidR="00EF68F6" w:rsidRDefault="00EF68F6" w:rsidP="00D42725">
      <w:pPr>
        <w:pStyle w:val="Order3"/>
      </w:pPr>
      <w:r w:rsidRPr="008340E3">
        <w:t>the failure to provide a suspicious matter report to AUSTRAC for an instance of suspected match-fixing in August 2010;</w:t>
      </w:r>
    </w:p>
    <w:p w:rsidR="00EF68F6" w:rsidRPr="008340E3" w:rsidRDefault="00EF68F6" w:rsidP="00D42725">
      <w:pPr>
        <w:pStyle w:val="Order3"/>
      </w:pPr>
      <w:r w:rsidRPr="008340E3">
        <w:t>the failure to provide  suspicious matter reports to AUSTRAC on time for 32 instances of suspected credit betting between July 2010 and March 2013; and</w:t>
      </w:r>
    </w:p>
    <w:p w:rsidR="00EF68F6" w:rsidRPr="008340E3" w:rsidRDefault="00EF68F6" w:rsidP="00D42725">
      <w:pPr>
        <w:pStyle w:val="Order3"/>
      </w:pPr>
      <w:r w:rsidRPr="008340E3">
        <w:t>the failure to provide  suspicious matter reports to AUSTRAC on time in respect of 51 TAB accounts in relation to instances of suspected credit card fraud.</w:t>
      </w:r>
    </w:p>
    <w:p w:rsidR="00EF68F6" w:rsidRPr="008340E3" w:rsidRDefault="00EF68F6" w:rsidP="00D42725">
      <w:pPr>
        <w:pStyle w:val="Order2"/>
      </w:pPr>
      <w:r w:rsidRPr="008340E3">
        <w:lastRenderedPageBreak/>
        <w:t>a contravention of s 32(1) of the Act in March 2015 by commencing to provide a designated service to a non-account customer in a retail outlet having failed to carry out the applicable customer identification procedure.</w:t>
      </w:r>
    </w:p>
    <w:p w:rsidR="00EF68F6" w:rsidRPr="008340E3" w:rsidRDefault="00EF68F6" w:rsidP="00D42725">
      <w:pPr>
        <w:pStyle w:val="Order1"/>
      </w:pPr>
      <w:r w:rsidRPr="008340E3">
        <w:t>The Second Respondent, Tabcorp Holdings Limited (TAH) engaged in contraventions of s 41(2)(a) of the Act between September 2010 and August 2012 by failing to give suspicious matter reports to the Applicant within the timeframe stipulated in s 41(2)(a) for 20 instances of suspected credit betting.</w:t>
      </w:r>
    </w:p>
    <w:p w:rsidR="00EF68F6" w:rsidRPr="008340E3" w:rsidRDefault="00EF68F6" w:rsidP="00D42725">
      <w:pPr>
        <w:pStyle w:val="Order1"/>
      </w:pPr>
      <w:r w:rsidRPr="008340E3">
        <w:t>The Third Respondent, Tabcorp Wagering (Vic) Pty Ltd (Tabcorp Vic) engaged in a contravention of s 41(2)(a) of the Act in or about July 2014 by failing to give a suspicious matter report to the Applicant within the timeframe stipulated in s 41(2)(a) in respect of suspected credit card fraud.</w:t>
      </w:r>
    </w:p>
    <w:p w:rsidR="00EF68F6" w:rsidRPr="008340E3" w:rsidRDefault="00EF68F6" w:rsidP="00D42725">
      <w:pPr>
        <w:pStyle w:val="Order1"/>
        <w:rPr>
          <w:spacing w:val="-3"/>
        </w:rPr>
      </w:pPr>
      <w:r w:rsidRPr="00D42725">
        <w:t>TAB and Tabcorp Vic together engaged in a contravention of s 81 of the Act between September 2012 and December 2015 by commencing to provide designated services in circumstances where the joint anti-money laundering and counter-terrorism financing program that applied to TAB and Tabcorp Vic did not fully meet the requirements of the Act.</w:t>
      </w:r>
    </w:p>
    <w:p w:rsidR="00EF68F6" w:rsidRPr="008340E3" w:rsidRDefault="00EF68F6" w:rsidP="00EF68F6">
      <w:pPr>
        <w:pStyle w:val="BodyText"/>
        <w:spacing w:after="120" w:line="276" w:lineRule="auto"/>
        <w:ind w:left="720" w:hanging="720"/>
        <w:rPr>
          <w:b/>
          <w:spacing w:val="-3"/>
        </w:rPr>
      </w:pPr>
      <w:r w:rsidRPr="008340E3">
        <w:rPr>
          <w:b/>
          <w:spacing w:val="-3"/>
        </w:rPr>
        <w:t>THE COURT ORDERS THAT:</w:t>
      </w:r>
    </w:p>
    <w:p w:rsidR="00EF68F6" w:rsidRDefault="00EF68F6" w:rsidP="00D42725">
      <w:pPr>
        <w:pStyle w:val="Order1"/>
      </w:pPr>
      <w:r w:rsidRPr="008340E3">
        <w:t>The Respondents pay to the Commonwealth of Australia a pecuniary penalty in the total sum of AUD$45 million within 28 days of the date of this order.</w:t>
      </w:r>
    </w:p>
    <w:p w:rsidR="00EF68F6" w:rsidRPr="008340E3" w:rsidRDefault="00D42725" w:rsidP="00D42725">
      <w:pPr>
        <w:pStyle w:val="Order1"/>
      </w:pPr>
      <w:r>
        <w:t>T</w:t>
      </w:r>
      <w:r w:rsidR="00EF68F6" w:rsidRPr="008340E3">
        <w:t>he Respondents pay the Applicant’s costs as agreed within 28 days of the date of this order.</w:t>
      </w:r>
    </w:p>
    <w:p w:rsidR="00EF68F6" w:rsidRPr="008340E3" w:rsidRDefault="00EF68F6" w:rsidP="00D42725">
      <w:pPr>
        <w:pStyle w:val="Order1"/>
      </w:pPr>
      <w:r w:rsidRPr="008340E3">
        <w:t>The proceeding otherwise be dismissed.</w:t>
      </w:r>
    </w:p>
    <w:p w:rsidR="00EF68F6" w:rsidRPr="008340E3" w:rsidRDefault="00EF68F6" w:rsidP="00D42725">
      <w:pPr>
        <w:pStyle w:val="Order1"/>
      </w:pPr>
      <w:r w:rsidRPr="008340E3">
        <w:t>Pursuant to s 37AI of the Federal Court of Australia Act 1976 (Cth), and until further order, the information identified in Schedule 2 (being information contained in the document entitled ‘Confidential Annexure 1’ to the statement of agreed facts filed on 22 February 2017 (Agreed Facts)) be kept confidential and not be published or otherwise disclosed to any person other than the parties or their legal representatives on the grounds that the order is necessary to prevent prejudice to the proper administration of justice.</w:t>
      </w:r>
    </w:p>
    <w:p w:rsidR="00636871" w:rsidRPr="00EF68F6" w:rsidRDefault="00EF68F6" w:rsidP="00D42725">
      <w:pPr>
        <w:pStyle w:val="Order1"/>
      </w:pPr>
      <w:r w:rsidRPr="008340E3">
        <w:t>The Respondents file a redacted copy of the Agreed Facts with the Court.</w:t>
      </w:r>
    </w:p>
    <w:p w:rsidR="00395B24" w:rsidRDefault="00395B24" w:rsidP="002B0E91">
      <w:pPr>
        <w:pStyle w:val="BodyText"/>
      </w:pPr>
    </w:p>
    <w:p w:rsidR="00395B24" w:rsidRDefault="002C7385" w:rsidP="00D42725">
      <w:pPr>
        <w:pStyle w:val="SingleSpace"/>
      </w:pPr>
      <w:r>
        <w:t>Note:</w:t>
      </w:r>
      <w:r>
        <w:tab/>
        <w:t xml:space="preserve">Entry of orders is dealt with in Rule 39.32 of the </w:t>
      </w:r>
      <w:r>
        <w:rPr>
          <w:i/>
        </w:rPr>
        <w:t>Federal Court Rules 2011</w:t>
      </w:r>
      <w:r>
        <w:t>.</w:t>
      </w: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395B24" w:rsidRPr="00EA03CE" w:rsidRDefault="00BA02A7" w:rsidP="005E0510">
      <w:pPr>
        <w:pStyle w:val="NormalHeadings"/>
        <w:spacing w:line="360" w:lineRule="auto"/>
        <w:jc w:val="left"/>
        <w:rPr>
          <w:sz w:val="26"/>
          <w:szCs w:val="26"/>
        </w:rPr>
      </w:pPr>
      <w:r>
        <w:rPr>
          <w:sz w:val="26"/>
          <w:szCs w:val="26"/>
        </w:rPr>
        <w:t>PERRAM J</w:t>
      </w:r>
      <w:r w:rsidR="00484F6D" w:rsidRPr="00EA03CE">
        <w:rPr>
          <w:sz w:val="26"/>
          <w:szCs w:val="26"/>
        </w:rPr>
        <w:t>:</w:t>
      </w:r>
    </w:p>
    <w:p w:rsidR="008B151D" w:rsidRDefault="008B151D" w:rsidP="008B151D">
      <w:pPr>
        <w:pStyle w:val="Heading2"/>
      </w:pPr>
      <w:r>
        <w:t>1.    Introduction</w:t>
      </w:r>
    </w:p>
    <w:p w:rsidR="00484F6D" w:rsidRDefault="00BA02A7" w:rsidP="00BA02A7">
      <w:pPr>
        <w:pStyle w:val="ParaNumbering"/>
      </w:pPr>
      <w:r>
        <w:t>This case involves the punishment of the Respondent</w:t>
      </w:r>
      <w:r w:rsidR="0046285F">
        <w:t>s</w:t>
      </w:r>
      <w:r>
        <w:t xml:space="preserve"> </w:t>
      </w:r>
      <w:r w:rsidR="001714E8">
        <w:t xml:space="preserve">for admitted </w:t>
      </w:r>
      <w:r w:rsidR="007C7EB0">
        <w:t xml:space="preserve">breaches of the </w:t>
      </w:r>
      <w:r w:rsidR="007C7EB0">
        <w:rPr>
          <w:i/>
        </w:rPr>
        <w:t xml:space="preserve">Anti-Money </w:t>
      </w:r>
      <w:r w:rsidR="00C3161D">
        <w:rPr>
          <w:i/>
        </w:rPr>
        <w:t>L</w:t>
      </w:r>
      <w:r w:rsidR="007C7EB0">
        <w:rPr>
          <w:i/>
        </w:rPr>
        <w:t>aundering and Counter-Terrorism Financing Act 2006</w:t>
      </w:r>
      <w:r w:rsidR="007C7EB0">
        <w:t xml:space="preserve"> (Cth) (‘the Act’).  </w:t>
      </w:r>
      <w:r w:rsidR="00647867">
        <w:t xml:space="preserve">It is the first such case brought under the Act.  </w:t>
      </w:r>
      <w:r w:rsidR="00B956C2">
        <w:t>The Respondents are Tabcorp Holdings Ltd (‘TAH’) and its subsidiaries, Tab Ltd (‘T</w:t>
      </w:r>
      <w:r w:rsidR="000407D8">
        <w:t>AB</w:t>
      </w:r>
      <w:r w:rsidR="00B956C2">
        <w:t xml:space="preserve">’) and Tabcorp Wagering (Vic) Pty Ltd (‘Tabcorp Vic’).  </w:t>
      </w:r>
      <w:r w:rsidR="007C7EB0">
        <w:t xml:space="preserve">The penalties under the </w:t>
      </w:r>
      <w:r w:rsidR="0046285F">
        <w:t>A</w:t>
      </w:r>
      <w:r w:rsidR="007C7EB0">
        <w:t>ct are severe.  On 16 March 2017</w:t>
      </w:r>
      <w:r w:rsidR="00274DE7">
        <w:t>,</w:t>
      </w:r>
      <w:r w:rsidR="007C7EB0">
        <w:t xml:space="preserve"> I imposed a civil penalty on </w:t>
      </w:r>
      <w:r w:rsidR="00B956C2">
        <w:t>the Respondent</w:t>
      </w:r>
      <w:r w:rsidR="00274DE7">
        <w:t>s</w:t>
      </w:r>
      <w:r w:rsidR="00B956C2">
        <w:t xml:space="preserve"> </w:t>
      </w:r>
      <w:r w:rsidR="007C7EB0">
        <w:t xml:space="preserve">of $45 million for </w:t>
      </w:r>
      <w:r w:rsidR="0046285F">
        <w:t>their</w:t>
      </w:r>
      <w:r w:rsidR="007C7EB0">
        <w:t xml:space="preserve"> admitted breaches of the </w:t>
      </w:r>
      <w:r w:rsidR="0046285F">
        <w:t>A</w:t>
      </w:r>
      <w:r w:rsidR="007C7EB0">
        <w:t>ct</w:t>
      </w:r>
      <w:r w:rsidR="00B956C2">
        <w:t xml:space="preserve"> together with other ancillary orders</w:t>
      </w:r>
      <w:r w:rsidR="007C7EB0">
        <w:t>.  The</w:t>
      </w:r>
      <w:r w:rsidR="003C03FF">
        <w:t>s</w:t>
      </w:r>
      <w:r w:rsidR="007C7EB0">
        <w:t>e are my reasons for doing so.</w:t>
      </w:r>
    </w:p>
    <w:p w:rsidR="007C7EB0" w:rsidRDefault="007C7EB0" w:rsidP="00BA02A7">
      <w:pPr>
        <w:pStyle w:val="ParaNumbering"/>
      </w:pPr>
      <w:r>
        <w:t>Australia has substantial international legal obligations</w:t>
      </w:r>
      <w:r w:rsidR="003C03FF">
        <w:t xml:space="preserve"> which require it</w:t>
      </w:r>
      <w:r>
        <w:t xml:space="preserve"> to </w:t>
      </w:r>
      <w:r w:rsidR="003C03FF">
        <w:t xml:space="preserve">prevent </w:t>
      </w:r>
      <w:r>
        <w:t xml:space="preserve">money-laundering and the financing of terrorism.  There are numerous international instruments to which Australia is a State party dealing with these topics together with, </w:t>
      </w:r>
      <w:r w:rsidRPr="00543EFF">
        <w:rPr>
          <w:i/>
        </w:rPr>
        <w:t>inter</w:t>
      </w:r>
      <w:r w:rsidR="003C03FF" w:rsidRPr="00543EFF">
        <w:rPr>
          <w:i/>
        </w:rPr>
        <w:t xml:space="preserve"> </w:t>
      </w:r>
      <w:r w:rsidRPr="00543EFF">
        <w:rPr>
          <w:i/>
        </w:rPr>
        <w:t>alia</w:t>
      </w:r>
      <w:r>
        <w:t xml:space="preserve">, </w:t>
      </w:r>
      <w:r w:rsidR="003C03FF">
        <w:t xml:space="preserve">a </w:t>
      </w:r>
      <w:r>
        <w:t>num</w:t>
      </w:r>
      <w:r w:rsidR="003C03FF">
        <w:t>b</w:t>
      </w:r>
      <w:r>
        <w:t xml:space="preserve">er </w:t>
      </w:r>
      <w:r w:rsidR="003C03FF">
        <w:t xml:space="preserve">of </w:t>
      </w:r>
      <w:r>
        <w:t xml:space="preserve">resolutions of the United Nations Security Council.  Many of these </w:t>
      </w:r>
      <w:r w:rsidR="003C03FF">
        <w:t xml:space="preserve">instruments </w:t>
      </w:r>
      <w:r>
        <w:t>are set out in s 3 of the Act.</w:t>
      </w:r>
    </w:p>
    <w:p w:rsidR="007C7EB0" w:rsidRDefault="007C7EB0" w:rsidP="00BA02A7">
      <w:pPr>
        <w:pStyle w:val="ParaNumbering"/>
      </w:pPr>
      <w:r>
        <w:t>F</w:t>
      </w:r>
      <w:r w:rsidR="003C03FF">
        <w:t>r</w:t>
      </w:r>
      <w:r>
        <w:t xml:space="preserve">om a regulatory perspective, there </w:t>
      </w:r>
      <w:r w:rsidR="00B956C2">
        <w:t>are</w:t>
      </w:r>
      <w:r>
        <w:t xml:space="preserve"> a number of ways anti-money laundering and counter-terrorism financing (‘AML/CTF’)</w:t>
      </w:r>
      <w:r w:rsidR="00456278">
        <w:t xml:space="preserve"> measures might be taken. </w:t>
      </w:r>
      <w:r w:rsidR="003C03FF">
        <w:t xml:space="preserve"> One way might be </w:t>
      </w:r>
      <w:r w:rsidR="00B956C2">
        <w:t xml:space="preserve">by </w:t>
      </w:r>
      <w:r w:rsidR="003C03FF">
        <w:t xml:space="preserve">invasive policing.  Another might be </w:t>
      </w:r>
      <w:r w:rsidR="00B956C2">
        <w:t xml:space="preserve">by </w:t>
      </w:r>
      <w:r w:rsidR="003C03FF">
        <w:t xml:space="preserve">identifying areas of risk within the economy and seeking to manage that risk. </w:t>
      </w:r>
      <w:r w:rsidR="00456278">
        <w:t xml:space="preserve"> </w:t>
      </w:r>
      <w:r w:rsidR="003C03FF">
        <w:t>In Australia, t</w:t>
      </w:r>
      <w:r w:rsidR="00456278">
        <w:t>he Parliament</w:t>
      </w:r>
      <w:r w:rsidR="00B956C2">
        <w:t xml:space="preserve"> h</w:t>
      </w:r>
      <w:r w:rsidR="00274DE7">
        <w:t>a</w:t>
      </w:r>
      <w:r w:rsidR="00B956C2">
        <w:t>s</w:t>
      </w:r>
      <w:r w:rsidR="001E6E16">
        <w:t xml:space="preserve"> decided that it will </w:t>
      </w:r>
      <w:r w:rsidR="00456278">
        <w:t xml:space="preserve">pursue </w:t>
      </w:r>
      <w:r w:rsidR="003C03FF">
        <w:t>th</w:t>
      </w:r>
      <w:r w:rsidR="00B956C2">
        <w:t>e</w:t>
      </w:r>
      <w:r w:rsidR="003C03FF">
        <w:t xml:space="preserve"> </w:t>
      </w:r>
      <w:r w:rsidR="00456278">
        <w:t xml:space="preserve">risk management approach.  Upon the introduction of the </w:t>
      </w:r>
      <w:r w:rsidR="00CB3F06">
        <w:t>B</w:t>
      </w:r>
      <w:r w:rsidR="00456278">
        <w:t xml:space="preserve">ill </w:t>
      </w:r>
      <w:r w:rsidR="003C03FF">
        <w:t xml:space="preserve">which became the Act </w:t>
      </w:r>
      <w:r w:rsidR="00456278">
        <w:t>into the House of Representatives</w:t>
      </w:r>
      <w:r w:rsidR="00274DE7">
        <w:t>,</w:t>
      </w:r>
      <w:r w:rsidR="00456278">
        <w:t xml:space="preserve"> the</w:t>
      </w:r>
      <w:r w:rsidR="003C03FF">
        <w:t xml:space="preserve"> relevant </w:t>
      </w:r>
      <w:r w:rsidR="00456278">
        <w:t>Minister said this:</w:t>
      </w:r>
    </w:p>
    <w:p w:rsidR="00456278" w:rsidRDefault="00456278" w:rsidP="00456278">
      <w:pPr>
        <w:pStyle w:val="Quote1"/>
      </w:pPr>
      <w:r>
        <w:t>‘Consistent with the Government’s commitment to reducing regulatory burdens on business, the legislative package implements a risk-based approach to regulation.  Reporting entities will manage operational risks through AML/CTF programs developed in accordance with operational Rules.  AUSTRAC will monitor compliance with these programs and will assess the reasonableness of the entity’s risk assessment.</w:t>
      </w:r>
    </w:p>
    <w:p w:rsidR="00456278" w:rsidRDefault="00456278" w:rsidP="00456278">
      <w:pPr>
        <w:pStyle w:val="Quote1"/>
      </w:pPr>
      <w:r>
        <w:t>The risk-based regulatory approach recognises that reporting entities have the experience and knowledge needed to assess and mitigate risk. It will also help mitigate compliance costs by providing industry with the tools to concentrate their resources on areas where money laundering and terrorism financing risk is higher.  Industry has endorsed the risk-based approach. Australia’s risked-based approach is similar to that taken in the United States and the United Kingdom.’</w:t>
      </w:r>
    </w:p>
    <w:p w:rsidR="00456278" w:rsidRDefault="00456278" w:rsidP="00456278">
      <w:pPr>
        <w:pStyle w:val="Quote1"/>
      </w:pPr>
    </w:p>
    <w:p w:rsidR="00456278" w:rsidRDefault="00456278" w:rsidP="00456278">
      <w:pPr>
        <w:pStyle w:val="ParaNumbering"/>
      </w:pPr>
      <w:r>
        <w:lastRenderedPageBreak/>
        <w:t xml:space="preserve">It will be seen that this regulatory decision by the </w:t>
      </w:r>
      <w:r w:rsidR="00B956C2">
        <w:t>Parliament</w:t>
      </w:r>
      <w:r>
        <w:t xml:space="preserve"> put at the heart of the scheme of regulation</w:t>
      </w:r>
      <w:r w:rsidR="00274DE7">
        <w:t>,</w:t>
      </w:r>
      <w:r>
        <w:t xml:space="preserve"> the concept of AML/CTF</w:t>
      </w:r>
      <w:r w:rsidR="003C03FF">
        <w:t xml:space="preserve"> </w:t>
      </w:r>
      <w:r>
        <w:t>programs</w:t>
      </w:r>
      <w:r w:rsidR="00274DE7">
        <w:t>,</w:t>
      </w:r>
      <w:r>
        <w:t xml:space="preserve"> which would be monitored by the regulator, </w:t>
      </w:r>
      <w:r w:rsidR="00274DE7">
        <w:t xml:space="preserve">the </w:t>
      </w:r>
      <w:r>
        <w:t>A</w:t>
      </w:r>
      <w:r w:rsidR="00274DE7">
        <w:t xml:space="preserve">ustralian </w:t>
      </w:r>
      <w:r>
        <w:t>T</w:t>
      </w:r>
      <w:r w:rsidR="00274DE7">
        <w:t xml:space="preserve">ransaction </w:t>
      </w:r>
      <w:r>
        <w:t>R</w:t>
      </w:r>
      <w:r w:rsidR="00274DE7">
        <w:t xml:space="preserve">eports and </w:t>
      </w:r>
      <w:r>
        <w:t>A</w:t>
      </w:r>
      <w:r w:rsidR="00274DE7">
        <w:t xml:space="preserve">nalysis </w:t>
      </w:r>
      <w:r>
        <w:t>C</w:t>
      </w:r>
      <w:r w:rsidR="00274DE7">
        <w:t>entre (‘AUSTRAC’)</w:t>
      </w:r>
      <w:r>
        <w:t>.  In a sense, it involved the reposing in industry of a degree of trust</w:t>
      </w:r>
      <w:r w:rsidR="00CA534C">
        <w:t xml:space="preserve"> for </w:t>
      </w:r>
      <w:r w:rsidR="00B956C2">
        <w:t>its</w:t>
      </w:r>
      <w:r w:rsidR="00CA534C">
        <w:t xml:space="preserve"> operation of the </w:t>
      </w:r>
      <w:r w:rsidR="00B956C2">
        <w:t xml:space="preserve">AML/CTF risk management </w:t>
      </w:r>
      <w:r w:rsidR="00CA534C">
        <w:t>system.</w:t>
      </w:r>
      <w:r w:rsidR="003C03FF">
        <w:t xml:space="preserve">  The Act deals severely with breaches of </w:t>
      </w:r>
      <w:r w:rsidR="00B956C2">
        <w:t>that</w:t>
      </w:r>
      <w:r w:rsidR="003C03FF">
        <w:t xml:space="preserve"> </w:t>
      </w:r>
      <w:r w:rsidR="00C3161D">
        <w:t>t</w:t>
      </w:r>
      <w:r w:rsidR="003C03FF">
        <w:t>rust.</w:t>
      </w:r>
    </w:p>
    <w:p w:rsidR="00CA534C" w:rsidRDefault="00CA534C" w:rsidP="00456278">
      <w:pPr>
        <w:pStyle w:val="ParaNumbering"/>
      </w:pPr>
      <w:r>
        <w:t>The Act is a complex one.  For present purposes</w:t>
      </w:r>
      <w:r w:rsidR="00274DE7">
        <w:t>,</w:t>
      </w:r>
      <w:r>
        <w:t xml:space="preserve"> th</w:t>
      </w:r>
      <w:r w:rsidR="00D27D7D">
        <w:t>e following Parts are relevant</w:t>
      </w:r>
      <w:r w:rsidR="00B956C2">
        <w:t>: f</w:t>
      </w:r>
      <w:r w:rsidR="00D27D7D">
        <w:t xml:space="preserve">irst, Part 2 which imposes obligations upon reporting entities to adopt identification procedures for their customers; secondly, Part 3 which imposes reporting obligations in relation to a number of matters including suspicious transactions; thirdly, Part 3A which requires reporting entities to be enrolled on a Reporting Entities </w:t>
      </w:r>
      <w:r w:rsidR="00C3161D">
        <w:t>R</w:t>
      </w:r>
      <w:r w:rsidR="00D27D7D">
        <w:t>oll; and, fourthly, Part 7 which requires reporting entities to have AML/CTF programs.</w:t>
      </w:r>
    </w:p>
    <w:p w:rsidR="001E6E16" w:rsidRDefault="00D27D7D" w:rsidP="001E6E16">
      <w:pPr>
        <w:pStyle w:val="ParaNumbering"/>
      </w:pPr>
      <w:r>
        <w:t>The Chief Executive Officer of AUSTRAC</w:t>
      </w:r>
      <w:r w:rsidR="00247B9C">
        <w:t xml:space="preserve"> (‘the CEO’)</w:t>
      </w:r>
      <w:r w:rsidR="005B3740">
        <w:t>,</w:t>
      </w:r>
      <w:r>
        <w:t xml:space="preserve"> who administers the Act, commenced the present proceeding against </w:t>
      </w:r>
      <w:r w:rsidR="00B956C2">
        <w:t xml:space="preserve">the Respondents </w:t>
      </w:r>
      <w:r>
        <w:t>on 21 July 2015.  At that time</w:t>
      </w:r>
      <w:r w:rsidR="003F4004">
        <w:t>,</w:t>
      </w:r>
      <w:r>
        <w:t xml:space="preserve"> many breaches of the Act</w:t>
      </w:r>
      <w:r w:rsidR="00B956C2">
        <w:t xml:space="preserve"> w</w:t>
      </w:r>
      <w:r w:rsidR="00630EF1">
        <w:t>ere</w:t>
      </w:r>
      <w:r w:rsidR="00B956C2">
        <w:t xml:space="preserve"> alleged.</w:t>
      </w:r>
      <w:r>
        <w:t xml:space="preserve">  After some procedural </w:t>
      </w:r>
      <w:r w:rsidR="00C3161D">
        <w:t>skirmishes</w:t>
      </w:r>
      <w:r w:rsidR="00B956C2">
        <w:t>,</w:t>
      </w:r>
      <w:r>
        <w:t xml:space="preserve"> the parties eventually reached an agreed position which they invited the Court to adopt.  In broad terms, the agreement was that </w:t>
      </w:r>
      <w:r w:rsidR="00B956C2">
        <w:t>the Respondents</w:t>
      </w:r>
      <w:r>
        <w:t xml:space="preserve"> would admit </w:t>
      </w:r>
      <w:r w:rsidR="00247B9C">
        <w:t xml:space="preserve">to </w:t>
      </w:r>
      <w:r>
        <w:t xml:space="preserve">single breaches of ss 32, 51B and 81 of the Act and multiple breaches of </w:t>
      </w:r>
      <w:r w:rsidR="00336604">
        <w:t>s</w:t>
      </w:r>
      <w:r>
        <w:t xml:space="preserve"> 41.  In return, the</w:t>
      </w:r>
      <w:r w:rsidR="00247B9C">
        <w:t xml:space="preserve"> parties </w:t>
      </w:r>
      <w:r>
        <w:t xml:space="preserve">would </w:t>
      </w:r>
      <w:r w:rsidR="00247B9C">
        <w:t xml:space="preserve">jointly </w:t>
      </w:r>
      <w:r>
        <w:t>submit to the Court t</w:t>
      </w:r>
      <w:r w:rsidR="0073134F">
        <w:t>h</w:t>
      </w:r>
      <w:r>
        <w:t>at a penalty of $45 million should be imposed</w:t>
      </w:r>
      <w:r w:rsidR="00B956C2">
        <w:t xml:space="preserve"> for these admitted contraventions</w:t>
      </w:r>
      <w:r>
        <w:t>.</w:t>
      </w:r>
    </w:p>
    <w:p w:rsidR="00511F21" w:rsidRDefault="00511F21" w:rsidP="001E6E16">
      <w:pPr>
        <w:pStyle w:val="ParaNumbering"/>
      </w:pPr>
      <w:r>
        <w:t>In support of that agreed position</w:t>
      </w:r>
      <w:r w:rsidR="00B956C2">
        <w:t>,</w:t>
      </w:r>
      <w:r>
        <w:t xml:space="preserve"> the parties prepared an agreed statement of facts and a joint submission.  This Court may both receive and act upon such an agreed submission: </w:t>
      </w:r>
      <w:r w:rsidRPr="001E6E16">
        <w:rPr>
          <w:i/>
        </w:rPr>
        <w:t xml:space="preserve">Commonwealth of Australia v </w:t>
      </w:r>
      <w:r w:rsidR="005B7093" w:rsidRPr="001E6E16">
        <w:rPr>
          <w:i/>
        </w:rPr>
        <w:t xml:space="preserve">Director, </w:t>
      </w:r>
      <w:r w:rsidRPr="001E6E16">
        <w:rPr>
          <w:i/>
        </w:rPr>
        <w:t xml:space="preserve">Fair Work Building Industry Inspectorate </w:t>
      </w:r>
      <w:r w:rsidR="00631ABF">
        <w:t xml:space="preserve">[2015] HCA 46; </w:t>
      </w:r>
      <w:r>
        <w:t xml:space="preserve">(2015) </w:t>
      </w:r>
      <w:r w:rsidR="00631ABF">
        <w:t>258</w:t>
      </w:r>
      <w:r>
        <w:t xml:space="preserve"> </w:t>
      </w:r>
      <w:r w:rsidR="00631ABF">
        <w:t>C</w:t>
      </w:r>
      <w:r>
        <w:t>LR 4</w:t>
      </w:r>
      <w:r w:rsidR="00631ABF">
        <w:t>82</w:t>
      </w:r>
      <w:r w:rsidR="005B7093">
        <w:t xml:space="preserve"> at 489 [1]</w:t>
      </w:r>
      <w:r>
        <w:t>.  The Court nevertheless remains obliged to assess the appropriateness of the penalty</w:t>
      </w:r>
      <w:r w:rsidR="00B956C2">
        <w:t xml:space="preserve">.  This </w:t>
      </w:r>
      <w:r>
        <w:t xml:space="preserve">it may do by assessing whether the figure the parties have agreed is within </w:t>
      </w:r>
      <w:r w:rsidRPr="00247B9C">
        <w:t>the</w:t>
      </w:r>
      <w:r>
        <w:t xml:space="preserve"> permissible range of penalties albeit the Court might</w:t>
      </w:r>
      <w:r w:rsidR="00247B9C">
        <w:t xml:space="preserve"> itself </w:t>
      </w:r>
      <w:r>
        <w:t xml:space="preserve">have selected a slightly different figure.  Alternatively, the Court may assess the penalty itself and test the agreed penalty against that yardstick: </w:t>
      </w:r>
      <w:r w:rsidR="00FA0F7A" w:rsidRPr="001E6E16">
        <w:rPr>
          <w:i/>
        </w:rPr>
        <w:t xml:space="preserve">Minister for Industry, Tourism &amp; Resources v Mobil Oil Australia Pty Ltd </w:t>
      </w:r>
      <w:r w:rsidR="00FA0F7A">
        <w:t>[2004] FCAFC 72; [2004] ATPR 41-993 at [54]</w:t>
      </w:r>
      <w:r w:rsidR="00715641">
        <w:t xml:space="preserve"> per Branson, Sackville and Gyles JJ</w:t>
      </w:r>
      <w:r>
        <w:t>.</w:t>
      </w:r>
    </w:p>
    <w:p w:rsidR="00012482" w:rsidRDefault="008B151D" w:rsidP="00456278">
      <w:pPr>
        <w:pStyle w:val="ParaNumbering"/>
      </w:pPr>
      <w:r>
        <w:t>In determining a civil penalty</w:t>
      </w:r>
      <w:r w:rsidR="00BD7796">
        <w:t xml:space="preserve"> after satisfying itself that the Act has been breached</w:t>
      </w:r>
      <w:r w:rsidR="006F41D9">
        <w:t>,</w:t>
      </w:r>
      <w:r w:rsidR="00012482">
        <w:t xml:space="preserve"> the Court must take into account the non-exhaustive matters set out in s 175(3).  </w:t>
      </w:r>
      <w:r w:rsidR="00A97ED2">
        <w:t>These are</w:t>
      </w:r>
      <w:r w:rsidR="00012482">
        <w:t>:</w:t>
      </w:r>
    </w:p>
    <w:p w:rsidR="00E50430" w:rsidRDefault="00E50430" w:rsidP="00E50430">
      <w:pPr>
        <w:pStyle w:val="Quote1"/>
      </w:pPr>
      <w:r>
        <w:t>‘</w:t>
      </w:r>
      <w:r w:rsidRPr="008717F2">
        <w:rPr>
          <w:b/>
        </w:rPr>
        <w:t>175  Civil penalty orders</w:t>
      </w:r>
    </w:p>
    <w:p w:rsidR="00E50430" w:rsidRDefault="008717F2" w:rsidP="00E50430">
      <w:pPr>
        <w:pStyle w:val="Quote1"/>
      </w:pPr>
      <w:r>
        <w:lastRenderedPageBreak/>
        <w:t>‘</w:t>
      </w:r>
      <w:r w:rsidR="00E50430">
        <w:t>…</w:t>
      </w:r>
    </w:p>
    <w:p w:rsidR="00E50430" w:rsidRDefault="00E50430" w:rsidP="00E50430">
      <w:pPr>
        <w:pStyle w:val="Quote1"/>
        <w:ind w:left="1440" w:hanging="703"/>
      </w:pPr>
      <w:r>
        <w:t xml:space="preserve">(3)  </w:t>
      </w:r>
      <w:r>
        <w:tab/>
        <w:t>In determining the pecuniary penalty, the Federal Court must have regard to all relevant matters, including:</w:t>
      </w:r>
    </w:p>
    <w:p w:rsidR="00E50430" w:rsidRDefault="00E50430" w:rsidP="00E50430">
      <w:pPr>
        <w:pStyle w:val="Quote2"/>
        <w:ind w:left="2160" w:hanging="720"/>
      </w:pPr>
      <w:r>
        <w:t>(a)</w:t>
      </w:r>
      <w:r>
        <w:tab/>
        <w:t>the nature and extent of the contravention; and</w:t>
      </w:r>
    </w:p>
    <w:p w:rsidR="00E50430" w:rsidRDefault="00E50430" w:rsidP="00E50430">
      <w:pPr>
        <w:pStyle w:val="Quote2"/>
        <w:ind w:left="2160" w:hanging="720"/>
      </w:pPr>
      <w:r>
        <w:t>(b)</w:t>
      </w:r>
      <w:r>
        <w:tab/>
        <w:t>the nature and extent of any loss or damage suffered as a result of the contravention; and</w:t>
      </w:r>
    </w:p>
    <w:p w:rsidR="00E50430" w:rsidRDefault="00E50430" w:rsidP="00E50430">
      <w:pPr>
        <w:pStyle w:val="Quote2"/>
        <w:ind w:left="2160" w:hanging="720"/>
      </w:pPr>
      <w:r>
        <w:t>(c)</w:t>
      </w:r>
      <w:r>
        <w:tab/>
        <w:t>the circumstances in which the contravention took place; and</w:t>
      </w:r>
    </w:p>
    <w:p w:rsidR="00E50430" w:rsidRDefault="00E50430" w:rsidP="00E50430">
      <w:pPr>
        <w:pStyle w:val="Quote2"/>
        <w:ind w:left="2160" w:hanging="720"/>
      </w:pPr>
      <w:r>
        <w:t>(d)</w:t>
      </w:r>
      <w:r>
        <w:tab/>
        <w:t>whether the person has previously been found by the Federal Court in proceedings under this Act to have engaged in any similar conduct; and</w:t>
      </w:r>
    </w:p>
    <w:p w:rsidR="00E50430" w:rsidRDefault="00E50430" w:rsidP="00E50430">
      <w:pPr>
        <w:pStyle w:val="Quote2"/>
        <w:ind w:left="2160" w:hanging="720"/>
      </w:pPr>
      <w:r>
        <w:t>(e)</w:t>
      </w:r>
      <w:r>
        <w:tab/>
        <w:t>if the Federal Court considers that it is appropriate to do so—whether the person has previously been found by a court in proceedings under a law of a State or Territory to have engaged in any similar conduct; and</w:t>
      </w:r>
    </w:p>
    <w:p w:rsidR="00E50430" w:rsidRDefault="00E50430" w:rsidP="00E50430">
      <w:pPr>
        <w:pStyle w:val="Quote2"/>
        <w:ind w:left="2160" w:hanging="720"/>
      </w:pPr>
      <w:r>
        <w:t>(f)</w:t>
      </w:r>
      <w:r>
        <w:tab/>
        <w:t>if the Federal Court considers that it is appropriate to do so—whether the person has previously been found by a court in a foreign country to have engaged in any similar conduct; and</w:t>
      </w:r>
    </w:p>
    <w:p w:rsidR="00E50430" w:rsidRDefault="00E50430" w:rsidP="00E50430">
      <w:pPr>
        <w:pStyle w:val="Quote2"/>
        <w:ind w:left="2160" w:hanging="720"/>
      </w:pPr>
      <w:r>
        <w:t>(g)</w:t>
      </w:r>
      <w:r>
        <w:tab/>
        <w:t xml:space="preserve">if the Federal Court considers that it is appropriate to do so—whether the person has previously been found by a court in proceedings under the </w:t>
      </w:r>
      <w:r w:rsidRPr="00831EB0">
        <w:rPr>
          <w:i/>
        </w:rPr>
        <w:t>Financial Transaction Reports Act 1988</w:t>
      </w:r>
      <w:r>
        <w:t xml:space="preserve"> to have engaged in any similar conduct.</w:t>
      </w:r>
    </w:p>
    <w:p w:rsidR="00456278" w:rsidRDefault="00E50430" w:rsidP="007B2934">
      <w:pPr>
        <w:pStyle w:val="Quote1"/>
        <w:spacing w:after="120"/>
      </w:pPr>
      <w:r>
        <w:t>….’</w:t>
      </w:r>
    </w:p>
    <w:p w:rsidR="00E50430" w:rsidRDefault="00E50430" w:rsidP="00E50430">
      <w:pPr>
        <w:pStyle w:val="Quote1"/>
      </w:pPr>
    </w:p>
    <w:p w:rsidR="00821B94" w:rsidRDefault="00AC1D7D" w:rsidP="00821B94">
      <w:pPr>
        <w:pStyle w:val="ParaNumbering"/>
        <w:spacing w:before="240"/>
      </w:pPr>
      <w:r>
        <w:t>Section 175(3) requires the Court to take account of ‘all relevant matters’.  These include (or may include depending on the circumstances) the ‘French factors’</w:t>
      </w:r>
      <w:r w:rsidR="006F41D9">
        <w:t>: see</w:t>
      </w:r>
      <w:r w:rsidR="00B504E4">
        <w:t xml:space="preserve"> </w:t>
      </w:r>
      <w:r w:rsidR="00B504E4">
        <w:rPr>
          <w:i/>
        </w:rPr>
        <w:t>Trade Practices Commission v CSR Limited</w:t>
      </w:r>
      <w:r w:rsidR="005E7571">
        <w:rPr>
          <w:i/>
        </w:rPr>
        <w:t xml:space="preserve"> </w:t>
      </w:r>
      <w:r w:rsidR="005E7571">
        <w:t xml:space="preserve">[1990] FCA </w:t>
      </w:r>
      <w:r w:rsidR="00831EB0">
        <w:t>521</w:t>
      </w:r>
      <w:r w:rsidR="005E7571">
        <w:t>; (1991) ATPR 41-076</w:t>
      </w:r>
      <w:r w:rsidR="006F41D9">
        <w:t xml:space="preserve"> at</w:t>
      </w:r>
      <w:r w:rsidR="00B504E4">
        <w:t xml:space="preserve"> [42]</w:t>
      </w:r>
      <w:r w:rsidR="006F41D9">
        <w:t xml:space="preserve"> per French J</w:t>
      </w:r>
      <w:r>
        <w:t xml:space="preserve">.  I </w:t>
      </w:r>
      <w:r w:rsidR="00821B94">
        <w:t>s</w:t>
      </w:r>
      <w:r w:rsidR="00C3161D">
        <w:t xml:space="preserve">ummarised the French factors </w:t>
      </w:r>
      <w:r w:rsidR="00821B94">
        <w:t xml:space="preserve">in </w:t>
      </w:r>
      <w:r w:rsidR="00821B94">
        <w:rPr>
          <w:i/>
        </w:rPr>
        <w:t xml:space="preserve">Australian Competition and Consumer Commission v Singtel Optus Pty Limited </w:t>
      </w:r>
      <w:r w:rsidR="00A33EC0">
        <w:rPr>
          <w:i/>
        </w:rPr>
        <w:t>(</w:t>
      </w:r>
      <w:r w:rsidR="00821B94">
        <w:rPr>
          <w:i/>
        </w:rPr>
        <w:t>No</w:t>
      </w:r>
      <w:r w:rsidR="00A33EC0">
        <w:rPr>
          <w:i/>
        </w:rPr>
        <w:t xml:space="preserve"> 4)</w:t>
      </w:r>
      <w:r w:rsidR="00A33EC0">
        <w:t xml:space="preserve"> [2011] FCA 761; </w:t>
      </w:r>
      <w:r w:rsidR="00821B94">
        <w:t>(2011) 282 ALR 24</w:t>
      </w:r>
      <w:r w:rsidR="00A33EC0">
        <w:t>6</w:t>
      </w:r>
      <w:r w:rsidR="00821B94">
        <w:t xml:space="preserve"> at </w:t>
      </w:r>
      <w:r w:rsidR="005D6D73">
        <w:t xml:space="preserve">250-251 </w:t>
      </w:r>
      <w:r w:rsidR="00821B94">
        <w:t>[11]:</w:t>
      </w:r>
    </w:p>
    <w:p w:rsidR="00821B94" w:rsidRDefault="00821B94" w:rsidP="00821B94">
      <w:pPr>
        <w:pStyle w:val="Quote1"/>
        <w:ind w:left="1440" w:hanging="703"/>
      </w:pPr>
      <w:r>
        <w:t>‘11</w:t>
      </w:r>
      <w:r>
        <w:tab/>
        <w:t xml:space="preserve">The requirements of s 76E(2) are, however, inclusive; other matters thought relevant may also be taken into account.  Several decisions in this Court have confirmed that the principles relevant to the imposition of a civil penalty under the former s 76 (which dealt with the civil penalties to be imposed in the case of breaches of Part IV) are applicable in principle to s 76E:  </w:t>
      </w:r>
      <w:r w:rsidRPr="00821B94">
        <w:rPr>
          <w:i/>
        </w:rPr>
        <w:t xml:space="preserve">Australian Competition and Consumer Commission v Global One Mobile Entertainment Ltd </w:t>
      </w:r>
      <w:r>
        <w:t xml:space="preserve">[2011] FCA 393 at [110]-[112] per Bennett J; </w:t>
      </w:r>
      <w:r w:rsidRPr="00821B94">
        <w:rPr>
          <w:i/>
        </w:rPr>
        <w:t>Australian Competition and Consumer Commission v Gourmet Goody’s Family Restaurant Pty Ltd</w:t>
      </w:r>
      <w:r>
        <w:t xml:space="preserve"> [2010] FCA 1216 at [6] per Jagot J; and my own decision in </w:t>
      </w:r>
      <w:r w:rsidRPr="00821B94">
        <w:rPr>
          <w:i/>
        </w:rPr>
        <w:t>MSY Technology (No.2)</w:t>
      </w:r>
      <w:r>
        <w:t xml:space="preserve"> at [68]-[69].  Those principles, which derive from several decisions concerned with penalties in the context of Part IV, suggest that relevant non-mandatory factors under s 76E will include:</w:t>
      </w:r>
    </w:p>
    <w:p w:rsidR="00821B94" w:rsidRDefault="00821B94" w:rsidP="00821B94">
      <w:pPr>
        <w:pStyle w:val="Quote2"/>
        <w:ind w:left="2160" w:hanging="720"/>
      </w:pPr>
      <w:r>
        <w:t>1.</w:t>
      </w:r>
      <w:r>
        <w:tab/>
        <w:t>the size of the contravening company;</w:t>
      </w:r>
    </w:p>
    <w:p w:rsidR="00821B94" w:rsidRDefault="00821B94" w:rsidP="00821B94">
      <w:pPr>
        <w:pStyle w:val="Quote2"/>
        <w:ind w:left="2160" w:hanging="720"/>
      </w:pPr>
      <w:r>
        <w:t>2.</w:t>
      </w:r>
      <w:r>
        <w:tab/>
        <w:t xml:space="preserve">the deliberateness of the contravention and the period over which it </w:t>
      </w:r>
      <w:r>
        <w:lastRenderedPageBreak/>
        <w:t>extended;</w:t>
      </w:r>
    </w:p>
    <w:p w:rsidR="00821B94" w:rsidRDefault="00821B94" w:rsidP="00821B94">
      <w:pPr>
        <w:pStyle w:val="Quote2"/>
        <w:ind w:left="2160" w:hanging="720"/>
      </w:pPr>
      <w:r>
        <w:t>3.</w:t>
      </w:r>
      <w:r>
        <w:tab/>
        <w:t>whether the contravention arose out of the conduct of senior management of the contravener or at some lower level;</w:t>
      </w:r>
    </w:p>
    <w:p w:rsidR="00821B94" w:rsidRDefault="00821B94" w:rsidP="00821B94">
      <w:pPr>
        <w:pStyle w:val="Quote2"/>
        <w:ind w:left="2160" w:hanging="720"/>
      </w:pPr>
      <w:r>
        <w:t>4.</w:t>
      </w:r>
      <w:r>
        <w:tab/>
        <w:t>whether the contravener has a corporate culture conducive to compliance with the Act (or the new Australian Competition and Consumer Law) as evidenced by educational programmes and disciplinary or other corrective measures in response to an acknowledged contravention;</w:t>
      </w:r>
    </w:p>
    <w:p w:rsidR="00821B94" w:rsidRDefault="00821B94" w:rsidP="00821B94">
      <w:pPr>
        <w:pStyle w:val="Quote2"/>
        <w:ind w:left="2160" w:hanging="720"/>
      </w:pPr>
      <w:r>
        <w:t>5.</w:t>
      </w:r>
      <w:r>
        <w:tab/>
        <w:t>whether the contravener has shown a disposition to co-operate with the authorities responsible for the enforcement of the Act in relation to the contravention;</w:t>
      </w:r>
    </w:p>
    <w:p w:rsidR="00821B94" w:rsidRDefault="00821B94" w:rsidP="00821B94">
      <w:pPr>
        <w:pStyle w:val="Quote2"/>
        <w:ind w:left="2160" w:hanging="720"/>
      </w:pPr>
      <w:r>
        <w:t>6.</w:t>
      </w:r>
      <w:r>
        <w:tab/>
        <w:t>whether the contravener has engaged in similar conduct in the past;</w:t>
      </w:r>
    </w:p>
    <w:p w:rsidR="00821B94" w:rsidRDefault="00821B94" w:rsidP="00821B94">
      <w:pPr>
        <w:pStyle w:val="Quote2"/>
        <w:ind w:left="2160" w:hanging="720"/>
      </w:pPr>
      <w:r>
        <w:t>7.</w:t>
      </w:r>
      <w:r>
        <w:tab/>
        <w:t>the financial position of the contravener;</w:t>
      </w:r>
    </w:p>
    <w:p w:rsidR="00AC1D7D" w:rsidRDefault="00821B94" w:rsidP="006F41D9">
      <w:pPr>
        <w:pStyle w:val="Quote2"/>
        <w:spacing w:after="120"/>
        <w:ind w:left="2160" w:hanging="720"/>
      </w:pPr>
      <w:r>
        <w:t>8.</w:t>
      </w:r>
      <w:r>
        <w:tab/>
        <w:t>whether the contravening conduct was sys</w:t>
      </w:r>
      <w:r w:rsidR="006F41D9">
        <w:t xml:space="preserve">tematic, deliberate or covert.’ </w:t>
      </w:r>
    </w:p>
    <w:p w:rsidR="00821B94" w:rsidRDefault="00821B94" w:rsidP="00821B94">
      <w:pPr>
        <w:pStyle w:val="Quote2"/>
        <w:ind w:left="2160" w:hanging="720"/>
      </w:pPr>
    </w:p>
    <w:p w:rsidR="00F039D9" w:rsidRDefault="00F039D9" w:rsidP="00821B94">
      <w:pPr>
        <w:pStyle w:val="ParaNumbering"/>
      </w:pPr>
      <w:r>
        <w:t xml:space="preserve">These overlap with s 175(3). </w:t>
      </w:r>
      <w:r w:rsidR="008B151D">
        <w:t xml:space="preserve"> Omitting the overlapping components, </w:t>
      </w:r>
      <w:r w:rsidR="00C3161D">
        <w:t xml:space="preserve">in determining a civil penalty </w:t>
      </w:r>
      <w:r w:rsidR="008B151D">
        <w:t>f</w:t>
      </w:r>
      <w:r w:rsidR="00821B94">
        <w:t>or a contravention of this Act the following matters should be considered</w:t>
      </w:r>
      <w:r>
        <w:t>:</w:t>
      </w:r>
    </w:p>
    <w:p w:rsidR="00F039D9" w:rsidRDefault="00F039D9" w:rsidP="00F039D9">
      <w:pPr>
        <w:pStyle w:val="ListNo1"/>
        <w:numPr>
          <w:ilvl w:val="0"/>
          <w:numId w:val="31"/>
        </w:numPr>
      </w:pPr>
      <w:r>
        <w:t>the deterrent nature of a civil penalty; that is to say, that a civil penalty should deter the contravener and others from future contraventions;</w:t>
      </w:r>
    </w:p>
    <w:p w:rsidR="00C3161D" w:rsidRDefault="00C3161D" w:rsidP="00F039D9">
      <w:pPr>
        <w:pStyle w:val="ListNo1"/>
        <w:numPr>
          <w:ilvl w:val="0"/>
          <w:numId w:val="31"/>
        </w:numPr>
      </w:pPr>
      <w:r>
        <w:t>the penalty must not be such as to be seen as a cost of doing business (</w:t>
      </w:r>
      <w:r>
        <w:rPr>
          <w:i/>
        </w:rPr>
        <w:t>Singtel Optus Pty Ltd v Australian Competition and Consumer Commission</w:t>
      </w:r>
      <w:r>
        <w:t xml:space="preserve"> </w:t>
      </w:r>
      <w:r w:rsidR="008432C5">
        <w:t xml:space="preserve">[2012] FCAFC 20; </w:t>
      </w:r>
      <w:r>
        <w:t xml:space="preserve">(2012) 287 ALR 249 at </w:t>
      </w:r>
      <w:r w:rsidR="008432C5">
        <w:t xml:space="preserve">265 </w:t>
      </w:r>
      <w:r>
        <w:t>[62]-[6</w:t>
      </w:r>
      <w:r w:rsidR="008432C5">
        <w:t>3</w:t>
      </w:r>
      <w:r>
        <w:t>]</w:t>
      </w:r>
      <w:r w:rsidR="00D970B9">
        <w:t>)</w:t>
      </w:r>
      <w:r>
        <w:t>;</w:t>
      </w:r>
    </w:p>
    <w:p w:rsidR="00F039D9" w:rsidRDefault="00F039D9" w:rsidP="00F039D9">
      <w:pPr>
        <w:pStyle w:val="ListNo1"/>
        <w:numPr>
          <w:ilvl w:val="0"/>
          <w:numId w:val="31"/>
        </w:numPr>
      </w:pPr>
      <w:r>
        <w:t xml:space="preserve">the penalty is not to be seen as a form of retribution or a device for rehabilitation;  </w:t>
      </w:r>
    </w:p>
    <w:p w:rsidR="00F039D9" w:rsidRDefault="00F039D9" w:rsidP="00F039D9">
      <w:pPr>
        <w:pStyle w:val="ListNo1"/>
        <w:numPr>
          <w:ilvl w:val="0"/>
          <w:numId w:val="31"/>
        </w:numPr>
      </w:pPr>
      <w:r>
        <w:t xml:space="preserve">the </w:t>
      </w:r>
      <w:r w:rsidR="00970AF4">
        <w:t>penalty must not be oppressive</w:t>
      </w:r>
      <w:r>
        <w:t xml:space="preserve">;  </w:t>
      </w:r>
    </w:p>
    <w:p w:rsidR="00F039D9" w:rsidRDefault="00F039D9" w:rsidP="00F039D9">
      <w:pPr>
        <w:pStyle w:val="ListNo1"/>
        <w:numPr>
          <w:ilvl w:val="0"/>
          <w:numId w:val="31"/>
        </w:numPr>
      </w:pPr>
      <w:r>
        <w:t>the nature and extent of the contravention (s 175(3)(a));</w:t>
      </w:r>
    </w:p>
    <w:p w:rsidR="00F039D9" w:rsidRDefault="00F039D9" w:rsidP="00F039D9">
      <w:pPr>
        <w:pStyle w:val="ListNo1"/>
        <w:numPr>
          <w:ilvl w:val="0"/>
          <w:numId w:val="31"/>
        </w:numPr>
      </w:pPr>
      <w:r>
        <w:t>the nature and extent of any loss suffered by reason of the contravention (s 175(3)(b));</w:t>
      </w:r>
    </w:p>
    <w:p w:rsidR="00F039D9" w:rsidRDefault="00F039D9" w:rsidP="00F039D9">
      <w:pPr>
        <w:pStyle w:val="ListNo1"/>
        <w:numPr>
          <w:ilvl w:val="0"/>
          <w:numId w:val="31"/>
        </w:numPr>
      </w:pPr>
      <w:r>
        <w:t>the circumstances in which the contravention took place (s 175(3)(c)</w:t>
      </w:r>
      <w:r w:rsidR="00970AF4">
        <w:t>)</w:t>
      </w:r>
      <w:r>
        <w:t>;</w:t>
      </w:r>
    </w:p>
    <w:p w:rsidR="00F039D9" w:rsidRDefault="00F039D9" w:rsidP="00F039D9">
      <w:pPr>
        <w:pStyle w:val="ListNo1"/>
        <w:numPr>
          <w:ilvl w:val="0"/>
          <w:numId w:val="31"/>
        </w:numPr>
      </w:pPr>
      <w:r>
        <w:t>whether the contravener has previously been found by the Federal Court to have engaged in similar conduct</w:t>
      </w:r>
      <w:r w:rsidR="00970AF4">
        <w:t xml:space="preserve"> in breach of the Act</w:t>
      </w:r>
      <w:r>
        <w:t xml:space="preserve"> (s 175(3)(d)</w:t>
      </w:r>
      <w:r w:rsidR="00970AF4">
        <w:t>)</w:t>
      </w:r>
      <w:r>
        <w:t>;</w:t>
      </w:r>
    </w:p>
    <w:p w:rsidR="00F039D9" w:rsidRDefault="00F039D9" w:rsidP="00F039D9">
      <w:pPr>
        <w:pStyle w:val="ListNo1"/>
        <w:numPr>
          <w:ilvl w:val="0"/>
          <w:numId w:val="31"/>
        </w:numPr>
      </w:pPr>
      <w:r>
        <w:t>whether the contravener has been found to have engaged in similar conduct by a court proceeding under State or Territory law or by a foreign court (but only if the Court thinks this should be considered) (s 175(3)(e)-(f));</w:t>
      </w:r>
    </w:p>
    <w:p w:rsidR="00F039D9" w:rsidRDefault="00F039D9" w:rsidP="00F039D9">
      <w:pPr>
        <w:pStyle w:val="ListNo1"/>
        <w:numPr>
          <w:ilvl w:val="0"/>
          <w:numId w:val="31"/>
        </w:numPr>
      </w:pPr>
      <w:r>
        <w:lastRenderedPageBreak/>
        <w:t xml:space="preserve">whether the contravener has previously been found to have engaged in similar conduct under the </w:t>
      </w:r>
      <w:r w:rsidRPr="00A97ED2">
        <w:rPr>
          <w:i/>
        </w:rPr>
        <w:t>Financial Transaction Reports Act 1988</w:t>
      </w:r>
      <w:r w:rsidR="00562BC7">
        <w:rPr>
          <w:i/>
        </w:rPr>
        <w:t xml:space="preserve"> </w:t>
      </w:r>
      <w:r w:rsidR="00562BC7">
        <w:t>(Cth)</w:t>
      </w:r>
      <w:r>
        <w:t xml:space="preserve"> (but only if the Court thinks it appropriate to do so) (s 175(3)(g));</w:t>
      </w:r>
    </w:p>
    <w:p w:rsidR="00F039D9" w:rsidRDefault="00F039D9" w:rsidP="00F039D9">
      <w:pPr>
        <w:pStyle w:val="ListNo1"/>
        <w:numPr>
          <w:ilvl w:val="0"/>
          <w:numId w:val="31"/>
        </w:numPr>
      </w:pPr>
      <w:r>
        <w:t>the maximum penalty at the time of the contravention.  In this case these were as follows:</w:t>
      </w:r>
    </w:p>
    <w:p w:rsidR="00F039D9" w:rsidRDefault="00F039D9" w:rsidP="00F039D9">
      <w:pPr>
        <w:pStyle w:val="ListNo1"/>
        <w:ind w:hanging="11"/>
      </w:pPr>
      <w:r>
        <w:t>7 April 1997 to 27 December 2012</w:t>
      </w:r>
      <w:r>
        <w:tab/>
      </w:r>
      <w:r>
        <w:tab/>
        <w:t>$11 million</w:t>
      </w:r>
    </w:p>
    <w:p w:rsidR="00F039D9" w:rsidRDefault="00F039D9" w:rsidP="00F039D9">
      <w:pPr>
        <w:pStyle w:val="ListNo1"/>
        <w:ind w:hanging="11"/>
      </w:pPr>
      <w:r>
        <w:t>28 December 2012 to 31 July 2015</w:t>
      </w:r>
      <w:r>
        <w:tab/>
      </w:r>
      <w:r>
        <w:tab/>
        <w:t>$17 million</w:t>
      </w:r>
    </w:p>
    <w:p w:rsidR="00F039D9" w:rsidRDefault="00F039D9" w:rsidP="00F039D9">
      <w:pPr>
        <w:pStyle w:val="ListNo1"/>
        <w:ind w:hanging="11"/>
      </w:pPr>
      <w:r>
        <w:t xml:space="preserve">1 August 2015 to </w:t>
      </w:r>
      <w:r w:rsidR="00562BC7">
        <w:t>1 July 2017</w:t>
      </w:r>
      <w:r>
        <w:tab/>
      </w:r>
      <w:r w:rsidR="00831EB0">
        <w:tab/>
      </w:r>
      <w:r w:rsidR="00831EB0">
        <w:tab/>
      </w:r>
      <w:r>
        <w:t>$18 million</w:t>
      </w:r>
    </w:p>
    <w:p w:rsidR="00F039D9" w:rsidRDefault="00F039D9" w:rsidP="00F039D9">
      <w:pPr>
        <w:pStyle w:val="ListNo1"/>
        <w:tabs>
          <w:tab w:val="clear" w:pos="720"/>
        </w:tabs>
        <w:ind w:hanging="11"/>
      </w:pPr>
      <w:r>
        <w:t>(</w:t>
      </w:r>
      <w:r w:rsidR="008D5E37">
        <w:t xml:space="preserve">the Act </w:t>
      </w:r>
      <w:r>
        <w:t xml:space="preserve">s 175(4); </w:t>
      </w:r>
      <w:r w:rsidRPr="008D5E37">
        <w:rPr>
          <w:i/>
        </w:rPr>
        <w:t>Crimes Act 1914</w:t>
      </w:r>
      <w:r>
        <w:t xml:space="preserve"> (Cth) s 4AA;</w:t>
      </w:r>
      <w:r w:rsidR="005A6276">
        <w:t xml:space="preserve"> see also</w:t>
      </w:r>
      <w:r>
        <w:t xml:space="preserve"> </w:t>
      </w:r>
      <w:r w:rsidRPr="00C3161D">
        <w:rPr>
          <w:i/>
        </w:rPr>
        <w:t>Mu</w:t>
      </w:r>
      <w:r w:rsidR="008D5E37">
        <w:rPr>
          <w:i/>
        </w:rPr>
        <w:t>r</w:t>
      </w:r>
      <w:r w:rsidRPr="00C3161D">
        <w:rPr>
          <w:i/>
        </w:rPr>
        <w:t>r</w:t>
      </w:r>
      <w:r w:rsidR="008D5E37">
        <w:rPr>
          <w:i/>
        </w:rPr>
        <w:t>i</w:t>
      </w:r>
      <w:r w:rsidRPr="00C3161D">
        <w:rPr>
          <w:i/>
        </w:rPr>
        <w:t>hy v Betezy</w:t>
      </w:r>
      <w:r w:rsidR="008D5E37">
        <w:rPr>
          <w:i/>
        </w:rPr>
        <w:t>.com.au</w:t>
      </w:r>
      <w:r w:rsidRPr="00C3161D">
        <w:rPr>
          <w:i/>
        </w:rPr>
        <w:t xml:space="preserve"> Pty Ltd (No 2)</w:t>
      </w:r>
      <w:r>
        <w:t xml:space="preserve"> </w:t>
      </w:r>
      <w:r w:rsidR="003B0E57">
        <w:t xml:space="preserve">[2013] FCA 1146; </w:t>
      </w:r>
      <w:r>
        <w:t>(2013) 221 FCR 118</w:t>
      </w:r>
      <w:r w:rsidR="008D5E37">
        <w:t xml:space="preserve"> </w:t>
      </w:r>
      <w:r>
        <w:t>at 127 [28] per Jessup J);</w:t>
      </w:r>
    </w:p>
    <w:p w:rsidR="00F039D9" w:rsidRDefault="00F039D9" w:rsidP="00F039D9">
      <w:pPr>
        <w:pStyle w:val="ListNo1"/>
        <w:numPr>
          <w:ilvl w:val="0"/>
          <w:numId w:val="31"/>
        </w:numPr>
      </w:pPr>
      <w:r>
        <w:t xml:space="preserve">a single instance of conduct which involves a contravention of more than one provision of the </w:t>
      </w:r>
      <w:r w:rsidR="00C3161D">
        <w:t>A</w:t>
      </w:r>
      <w:r>
        <w:t>ct may be subject only to a single penalty (s 175(6));</w:t>
      </w:r>
    </w:p>
    <w:p w:rsidR="00F039D9" w:rsidRDefault="00F039D9" w:rsidP="00F039D9">
      <w:pPr>
        <w:pStyle w:val="ListNo1"/>
        <w:numPr>
          <w:ilvl w:val="0"/>
          <w:numId w:val="31"/>
        </w:numPr>
      </w:pPr>
      <w:r>
        <w:t xml:space="preserve">the size of the contravening entity (the </w:t>
      </w:r>
      <w:r w:rsidR="0020254B">
        <w:t>fourth</w:t>
      </w:r>
      <w:r>
        <w:t xml:space="preserve"> French factor);</w:t>
      </w:r>
    </w:p>
    <w:p w:rsidR="00831EB0" w:rsidRDefault="00831EB0" w:rsidP="00831EB0">
      <w:pPr>
        <w:pStyle w:val="ListNo1"/>
        <w:numPr>
          <w:ilvl w:val="0"/>
          <w:numId w:val="31"/>
        </w:numPr>
      </w:pPr>
      <w:r>
        <w:t xml:space="preserve">the financial position of the contravener (the fifth French factor); </w:t>
      </w:r>
    </w:p>
    <w:p w:rsidR="00F039D9" w:rsidRDefault="00F039D9" w:rsidP="00F039D9">
      <w:pPr>
        <w:pStyle w:val="ListNo1"/>
        <w:numPr>
          <w:ilvl w:val="0"/>
          <w:numId w:val="31"/>
        </w:numPr>
      </w:pPr>
      <w:r>
        <w:t xml:space="preserve">the deliberateness of the conduct and the period over which it extended (the </w:t>
      </w:r>
      <w:r w:rsidR="00A0089E">
        <w:t>sixth</w:t>
      </w:r>
      <w:r>
        <w:t xml:space="preserve"> French factor);</w:t>
      </w:r>
    </w:p>
    <w:p w:rsidR="00F039D9" w:rsidRDefault="00F039D9" w:rsidP="00F039D9">
      <w:pPr>
        <w:pStyle w:val="ListNo1"/>
        <w:numPr>
          <w:ilvl w:val="0"/>
          <w:numId w:val="31"/>
        </w:numPr>
      </w:pPr>
      <w:r>
        <w:t xml:space="preserve">whether the conduct arose at the level of senior management or below (the </w:t>
      </w:r>
      <w:r w:rsidR="000E1ED9">
        <w:t>seventh</w:t>
      </w:r>
      <w:r>
        <w:t xml:space="preserve"> French factor);</w:t>
      </w:r>
    </w:p>
    <w:p w:rsidR="00F039D9" w:rsidRDefault="00F039D9" w:rsidP="00F039D9">
      <w:pPr>
        <w:pStyle w:val="ListNo1"/>
        <w:numPr>
          <w:ilvl w:val="0"/>
          <w:numId w:val="31"/>
        </w:numPr>
      </w:pPr>
      <w:r>
        <w:t xml:space="preserve">the state of the contravener’s culture of compliance (the </w:t>
      </w:r>
      <w:r w:rsidR="00AF55DC">
        <w:t>eighth</w:t>
      </w:r>
      <w:r>
        <w:t xml:space="preserve"> French factor); </w:t>
      </w:r>
    </w:p>
    <w:p w:rsidR="00F039D9" w:rsidRDefault="00F039D9" w:rsidP="00F039D9">
      <w:pPr>
        <w:pStyle w:val="ListNo1"/>
        <w:numPr>
          <w:ilvl w:val="0"/>
          <w:numId w:val="31"/>
        </w:numPr>
      </w:pPr>
      <w:r>
        <w:t xml:space="preserve">the degree of co-operation proffered by the contravener (the </w:t>
      </w:r>
      <w:r w:rsidR="00AF55DC">
        <w:t>ninth</w:t>
      </w:r>
      <w:r>
        <w:t xml:space="preserve"> French factor); </w:t>
      </w:r>
    </w:p>
    <w:p w:rsidR="00F039D9" w:rsidRDefault="00F039D9" w:rsidP="00F039D9">
      <w:pPr>
        <w:pStyle w:val="ListNo1"/>
        <w:numPr>
          <w:ilvl w:val="0"/>
          <w:numId w:val="31"/>
        </w:numPr>
      </w:pPr>
      <w:r>
        <w:t>whether the conduct was systematic,</w:t>
      </w:r>
      <w:r w:rsidR="00141AE0">
        <w:t xml:space="preserve"> deliberate or covert</w:t>
      </w:r>
      <w:r>
        <w:t xml:space="preserve">. </w:t>
      </w:r>
    </w:p>
    <w:p w:rsidR="00F039D9" w:rsidRDefault="00F039D9" w:rsidP="00F039D9">
      <w:pPr>
        <w:pStyle w:val="ListNo1"/>
        <w:numPr>
          <w:ilvl w:val="0"/>
          <w:numId w:val="31"/>
        </w:numPr>
      </w:pPr>
      <w:r>
        <w:t xml:space="preserve">whether there is a sufficient connection between legal and factual elements of a set of contraventions that make it appropriate to treat them as a single course of conduct.  If so the Court may, but is not bound to, approach the matter as if it were a single contravention: </w:t>
      </w:r>
      <w:r w:rsidRPr="00287F1E">
        <w:rPr>
          <w:i/>
        </w:rPr>
        <w:t>C</w:t>
      </w:r>
      <w:r w:rsidR="00A62C8C">
        <w:rPr>
          <w:i/>
        </w:rPr>
        <w:t xml:space="preserve">onstruction, </w:t>
      </w:r>
      <w:r w:rsidRPr="00287F1E">
        <w:rPr>
          <w:i/>
        </w:rPr>
        <w:t>F</w:t>
      </w:r>
      <w:r w:rsidR="00A62C8C">
        <w:rPr>
          <w:i/>
        </w:rPr>
        <w:t xml:space="preserve">orestry, </w:t>
      </w:r>
      <w:r w:rsidRPr="00287F1E">
        <w:rPr>
          <w:i/>
        </w:rPr>
        <w:t>M</w:t>
      </w:r>
      <w:r w:rsidR="00A62C8C">
        <w:rPr>
          <w:i/>
        </w:rPr>
        <w:t xml:space="preserve">ining and </w:t>
      </w:r>
      <w:r w:rsidRPr="00287F1E">
        <w:rPr>
          <w:i/>
        </w:rPr>
        <w:t>E</w:t>
      </w:r>
      <w:r w:rsidR="00A62C8C">
        <w:rPr>
          <w:i/>
        </w:rPr>
        <w:t xml:space="preserve">nergy </w:t>
      </w:r>
      <w:r w:rsidRPr="00287F1E">
        <w:rPr>
          <w:i/>
        </w:rPr>
        <w:t>U</w:t>
      </w:r>
      <w:r w:rsidR="00A62C8C">
        <w:rPr>
          <w:i/>
        </w:rPr>
        <w:t>nion</w:t>
      </w:r>
      <w:r w:rsidRPr="00287F1E">
        <w:rPr>
          <w:i/>
        </w:rPr>
        <w:t xml:space="preserve"> v Cahill</w:t>
      </w:r>
      <w:r>
        <w:t xml:space="preserve"> </w:t>
      </w:r>
      <w:r w:rsidR="00A62C8C">
        <w:t xml:space="preserve">[2010] FCAFC 39; </w:t>
      </w:r>
      <w:r>
        <w:t>(2010) 269 ALR 1 at</w:t>
      </w:r>
      <w:r w:rsidR="00A62C8C">
        <w:t xml:space="preserve"> 12</w:t>
      </w:r>
      <w:r>
        <w:t xml:space="preserve"> [39];</w:t>
      </w:r>
    </w:p>
    <w:p w:rsidR="00F039D9" w:rsidRDefault="00F039D9" w:rsidP="00F039D9">
      <w:pPr>
        <w:pStyle w:val="ListNo1"/>
        <w:numPr>
          <w:ilvl w:val="0"/>
          <w:numId w:val="31"/>
        </w:numPr>
      </w:pPr>
      <w:r>
        <w:t xml:space="preserve">the penalty is to be formulated using the process of instinctive synthesis explained in </w:t>
      </w:r>
      <w:r>
        <w:rPr>
          <w:i/>
        </w:rPr>
        <w:t xml:space="preserve">Markarian v The Queen </w:t>
      </w:r>
      <w:r w:rsidR="00CF1F1E">
        <w:t xml:space="preserve">[2005] HCA 25; </w:t>
      </w:r>
      <w:r>
        <w:t xml:space="preserve">(2005) 228 CLR 357; and </w:t>
      </w:r>
    </w:p>
    <w:p w:rsidR="00F039D9" w:rsidRDefault="00F039D9" w:rsidP="00F039D9">
      <w:pPr>
        <w:pStyle w:val="ListNo1"/>
        <w:numPr>
          <w:ilvl w:val="0"/>
          <w:numId w:val="31"/>
        </w:numPr>
      </w:pPr>
      <w:r>
        <w:t>at the end of the process</w:t>
      </w:r>
      <w:r w:rsidR="00E04DDD">
        <w:t>,</w:t>
      </w:r>
      <w:r>
        <w:t xml:space="preserve"> as a final check</w:t>
      </w:r>
      <w:r w:rsidR="00E04DDD">
        <w:t>,</w:t>
      </w:r>
      <w:r>
        <w:t xml:space="preserve"> the Court is to ascertain if the penalty at which it has arrived matches the overall or total wrongdoing of the conduct involved:  </w:t>
      </w:r>
      <w:r>
        <w:rPr>
          <w:i/>
        </w:rPr>
        <w:lastRenderedPageBreak/>
        <w:t xml:space="preserve">Australian Competition and Consumer Commission v Australian Safeway Stores Pty Limited </w:t>
      </w:r>
      <w:r w:rsidR="008107F2">
        <w:t xml:space="preserve">[1997] FCA 450; </w:t>
      </w:r>
      <w:r>
        <w:t>(1997) 145 ALR 36 at 53</w:t>
      </w:r>
      <w:r w:rsidR="008107F2">
        <w:t xml:space="preserve"> per Goldberg J</w:t>
      </w:r>
      <w:r>
        <w:t>.</w:t>
      </w:r>
    </w:p>
    <w:p w:rsidR="008B151D" w:rsidRDefault="00C71317" w:rsidP="00F039D9">
      <w:pPr>
        <w:pStyle w:val="Heading2"/>
      </w:pPr>
      <w:r>
        <w:t xml:space="preserve">2.    </w:t>
      </w:r>
      <w:r w:rsidR="005B3740">
        <w:t>General</w:t>
      </w:r>
      <w:r w:rsidR="008B151D">
        <w:t xml:space="preserve"> Matters</w:t>
      </w:r>
    </w:p>
    <w:p w:rsidR="008B151D" w:rsidRDefault="008B151D" w:rsidP="008B151D">
      <w:pPr>
        <w:pStyle w:val="ParaNumbering"/>
      </w:pPr>
      <w:r>
        <w:t xml:space="preserve">There are, in light of the above principles, a series of matters of a general nature that should be taken into account.  I accept that: </w:t>
      </w:r>
    </w:p>
    <w:p w:rsidR="008B151D" w:rsidRDefault="008B151D" w:rsidP="008B151D">
      <w:pPr>
        <w:pStyle w:val="ListNo1"/>
        <w:numPr>
          <w:ilvl w:val="0"/>
          <w:numId w:val="29"/>
        </w:numPr>
      </w:pPr>
      <w:r>
        <w:t xml:space="preserve">there have been no findings against </w:t>
      </w:r>
      <w:r w:rsidR="00513FC1">
        <w:t>any of the Respondents</w:t>
      </w:r>
      <w:r>
        <w:t xml:space="preserve"> in the past for the purposes of s 175(3);</w:t>
      </w:r>
    </w:p>
    <w:p w:rsidR="008B151D" w:rsidRDefault="008B151D" w:rsidP="008B151D">
      <w:pPr>
        <w:pStyle w:val="ListNo1"/>
        <w:numPr>
          <w:ilvl w:val="0"/>
          <w:numId w:val="29"/>
        </w:numPr>
      </w:pPr>
      <w:r>
        <w:t>T</w:t>
      </w:r>
      <w:r w:rsidR="00F44A0D">
        <w:t>A</w:t>
      </w:r>
      <w:r w:rsidR="00245A0A">
        <w:t>H</w:t>
      </w:r>
      <w:r>
        <w:t xml:space="preserve"> is a large listed entity with revenue which is measured in the billions as is its balance sheet.  The net profit after tax of the consolidated group </w:t>
      </w:r>
      <w:r w:rsidR="00245A0A">
        <w:t>averaged approximately</w:t>
      </w:r>
      <w:r>
        <w:t xml:space="preserve"> $149.5 million </w:t>
      </w:r>
      <w:r w:rsidR="00245A0A">
        <w:t>across</w:t>
      </w:r>
      <w:r>
        <w:t xml:space="preserve"> the financial years 2012-2013, 2013-2014 and 2014-15;</w:t>
      </w:r>
    </w:p>
    <w:p w:rsidR="008B151D" w:rsidRDefault="008B151D" w:rsidP="008B151D">
      <w:pPr>
        <w:pStyle w:val="ListNo1"/>
        <w:numPr>
          <w:ilvl w:val="0"/>
          <w:numId w:val="29"/>
        </w:numPr>
      </w:pPr>
      <w:r>
        <w:t xml:space="preserve">the </w:t>
      </w:r>
      <w:r w:rsidR="00C3161D">
        <w:t>AML</w:t>
      </w:r>
      <w:r w:rsidR="005B3740">
        <w:t>/</w:t>
      </w:r>
      <w:r w:rsidR="00C3161D">
        <w:t>CTF</w:t>
      </w:r>
      <w:r>
        <w:t xml:space="preserve"> program </w:t>
      </w:r>
      <w:r w:rsidR="00C3161D">
        <w:t xml:space="preserve">which has generated its liability in this case (‘the Former Program’) </w:t>
      </w:r>
      <w:r>
        <w:t>was in place for more than three years.  Most of the contravening conduct came to light following an on-site assessment by AUSTRAC in September 2012;</w:t>
      </w:r>
    </w:p>
    <w:p w:rsidR="008B151D" w:rsidRDefault="008B151D" w:rsidP="008B151D">
      <w:pPr>
        <w:pStyle w:val="ListNo1"/>
        <w:numPr>
          <w:ilvl w:val="0"/>
          <w:numId w:val="29"/>
        </w:numPr>
      </w:pPr>
      <w:r>
        <w:t>the contravention</w:t>
      </w:r>
      <w:r w:rsidR="00C3161D">
        <w:t>s</w:t>
      </w:r>
      <w:r>
        <w:t xml:space="preserve"> did not arise as a result of </w:t>
      </w:r>
      <w:r w:rsidR="00C3161D">
        <w:t xml:space="preserve">a </w:t>
      </w:r>
      <w:r>
        <w:t xml:space="preserve">deliberate intention to contravene the Act.  Instead, the state of affairs which prevailed under the </w:t>
      </w:r>
      <w:r w:rsidR="00C3161D">
        <w:t>Former P</w:t>
      </w:r>
      <w:r>
        <w:t>rogram came about because of insufficient resourcing together with insufficient processes for consistent management oversight, assurance and operational execution.  Management should have done more;</w:t>
      </w:r>
    </w:p>
    <w:p w:rsidR="008B151D" w:rsidRDefault="008B151D" w:rsidP="008B151D">
      <w:pPr>
        <w:pStyle w:val="ListNo1"/>
        <w:numPr>
          <w:ilvl w:val="0"/>
          <w:numId w:val="29"/>
        </w:numPr>
      </w:pPr>
      <w:r>
        <w:t xml:space="preserve">on the other hand, as </w:t>
      </w:r>
      <w:r w:rsidR="00C3161D">
        <w:t>was</w:t>
      </w:r>
      <w:r>
        <w:t xml:space="preserve"> required, the Board and senior management did receive compliance reports during the relevant period;</w:t>
      </w:r>
    </w:p>
    <w:p w:rsidR="008B151D" w:rsidRDefault="008B151D" w:rsidP="008B151D">
      <w:pPr>
        <w:pStyle w:val="ListNo1"/>
        <w:numPr>
          <w:ilvl w:val="0"/>
          <w:numId w:val="29"/>
        </w:numPr>
      </w:pPr>
      <w:r>
        <w:t>neither the Board nor senior management were aware of the deficiencies nor were either involved in the contraventions;</w:t>
      </w:r>
    </w:p>
    <w:p w:rsidR="008B151D" w:rsidRDefault="008B151D" w:rsidP="008B151D">
      <w:pPr>
        <w:pStyle w:val="ListNo1"/>
        <w:numPr>
          <w:ilvl w:val="0"/>
          <w:numId w:val="29"/>
        </w:numPr>
      </w:pPr>
      <w:r>
        <w:t>the</w:t>
      </w:r>
      <w:r w:rsidR="00016303">
        <w:t>re</w:t>
      </w:r>
      <w:r>
        <w:t xml:space="preserve"> have been some prosecutions in relation to the </w:t>
      </w:r>
      <w:r w:rsidR="0077682B">
        <w:t xml:space="preserve">match-fixing incident and </w:t>
      </w:r>
      <w:r>
        <w:t>credit card frauds</w:t>
      </w:r>
      <w:r w:rsidR="005B3740">
        <w:t xml:space="preserve"> (discussed below</w:t>
      </w:r>
      <w:r w:rsidR="0077682B">
        <w:t xml:space="preserve"> at [39]-[40]</w:t>
      </w:r>
      <w:r w:rsidR="005B3740">
        <w:t>)</w:t>
      </w:r>
      <w:r>
        <w:t>; and</w:t>
      </w:r>
    </w:p>
    <w:p w:rsidR="008B151D" w:rsidRDefault="008B151D" w:rsidP="008B151D">
      <w:pPr>
        <w:pStyle w:val="ListNo1"/>
        <w:numPr>
          <w:ilvl w:val="0"/>
          <w:numId w:val="29"/>
        </w:numPr>
      </w:pPr>
      <w:r>
        <w:t xml:space="preserve">since these matters came to light, </w:t>
      </w:r>
      <w:r w:rsidR="004E7EAF">
        <w:t>the Respondents</w:t>
      </w:r>
      <w:r>
        <w:t xml:space="preserve"> ha</w:t>
      </w:r>
      <w:r w:rsidR="004E7EAF">
        <w:t>ve</w:t>
      </w:r>
      <w:r>
        <w:t xml:space="preserve"> made a substan</w:t>
      </w:r>
      <w:r w:rsidR="00C903A7">
        <w:t>tial investment in improving their</w:t>
      </w:r>
      <w:r>
        <w:t xml:space="preserve"> compliance arrangements including: replacing the </w:t>
      </w:r>
      <w:r w:rsidR="00016303">
        <w:t>F</w:t>
      </w:r>
      <w:r>
        <w:t xml:space="preserve">ormer </w:t>
      </w:r>
      <w:r w:rsidR="00016303">
        <w:t>P</w:t>
      </w:r>
      <w:r>
        <w:t xml:space="preserve">rogram with a new program; hiring a Chief Risk Officer, creating a Financial </w:t>
      </w:r>
      <w:r w:rsidR="00C3161D">
        <w:t>R</w:t>
      </w:r>
      <w:r>
        <w:t xml:space="preserve">isk </w:t>
      </w:r>
      <w:r w:rsidR="00C3161D">
        <w:t>T</w:t>
      </w:r>
      <w:r>
        <w:t xml:space="preserve">eam and significantly expanding the team responsible for AML/CTF; introducing further systems and controls including those in respect of automated transaction monitoring; improving processes for monitoring credit card fraud; making improvements to the </w:t>
      </w:r>
      <w:r w:rsidR="005B3740">
        <w:lastRenderedPageBreak/>
        <w:t>suspicious matter report (‘</w:t>
      </w:r>
      <w:r>
        <w:t>SMR</w:t>
      </w:r>
      <w:r w:rsidR="005B3740">
        <w:t>’)</w:t>
      </w:r>
      <w:r>
        <w:t xml:space="preserve"> process; making improvement to identification procedures for transactions in excess of $10,000 in relation to retail outlets; </w:t>
      </w:r>
      <w:r w:rsidR="00FD74E6">
        <w:t xml:space="preserve">and </w:t>
      </w:r>
      <w:r>
        <w:t>creating enhancements to electronic customer identification; and increased staff training.</w:t>
      </w:r>
    </w:p>
    <w:p w:rsidR="008B151D" w:rsidRPr="008B151D" w:rsidRDefault="008B151D" w:rsidP="008B151D">
      <w:pPr>
        <w:pStyle w:val="ParaNumbering"/>
      </w:pPr>
      <w:r>
        <w:t xml:space="preserve">It is appropriate to observe that </w:t>
      </w:r>
      <w:r w:rsidR="004E7EAF">
        <w:t>the Respondents</w:t>
      </w:r>
      <w:r>
        <w:t xml:space="preserve"> did co-operate with AUSTRAC both in relation to the audit and investigation process</w:t>
      </w:r>
      <w:r w:rsidR="00C3161D">
        <w:t>.</w:t>
      </w:r>
      <w:r>
        <w:t xml:space="preserve">  It is also significant that </w:t>
      </w:r>
      <w:r w:rsidR="004E7EAF">
        <w:t>the Respondents</w:t>
      </w:r>
      <w:r>
        <w:t xml:space="preserve"> actively sought to settle these proceedings.  This has involved the making of significant admissions.  A very large trial at considerable public expense has been averted.</w:t>
      </w:r>
    </w:p>
    <w:p w:rsidR="00287F1E" w:rsidRDefault="008B151D" w:rsidP="00F039D9">
      <w:pPr>
        <w:pStyle w:val="Heading2"/>
      </w:pPr>
      <w:r>
        <w:t xml:space="preserve">3.    </w:t>
      </w:r>
      <w:r w:rsidR="00C71317">
        <w:t>The Contraventions</w:t>
      </w:r>
    </w:p>
    <w:p w:rsidR="00C71317" w:rsidRPr="00C71317" w:rsidRDefault="00C71317" w:rsidP="00C71317">
      <w:pPr>
        <w:pStyle w:val="Heading3"/>
      </w:pPr>
      <w:r>
        <w:t>(a)   Section 51B</w:t>
      </w:r>
    </w:p>
    <w:p w:rsidR="00C71317" w:rsidRDefault="00C71317" w:rsidP="00C71317">
      <w:pPr>
        <w:pStyle w:val="ParaNumbering"/>
      </w:pPr>
      <w:r>
        <w:t>Section 51C(1)</w:t>
      </w:r>
      <w:r w:rsidR="006875BB">
        <w:t xml:space="preserve"> of the Act</w:t>
      </w:r>
      <w:r>
        <w:t xml:space="preserve"> requires that the CEO maintain </w:t>
      </w:r>
      <w:r w:rsidR="00890310">
        <w:t xml:space="preserve">a role for the purposes of the Act known as </w:t>
      </w:r>
      <w:r>
        <w:t>the Reporting Entities Roll.  Section 51B(1) provides:</w:t>
      </w:r>
    </w:p>
    <w:p w:rsidR="00C71317" w:rsidRDefault="00C71317" w:rsidP="00C71317">
      <w:pPr>
        <w:pStyle w:val="Quote1"/>
      </w:pPr>
      <w:r>
        <w:t>‘</w:t>
      </w:r>
      <w:r w:rsidRPr="009E606C">
        <w:rPr>
          <w:b/>
        </w:rPr>
        <w:t>51B  Reporting entities must enrol</w:t>
      </w:r>
    </w:p>
    <w:p w:rsidR="00C71317" w:rsidRDefault="00C71317" w:rsidP="00C71317">
      <w:pPr>
        <w:pStyle w:val="Quote1"/>
        <w:ind w:left="1440" w:hanging="703"/>
      </w:pPr>
      <w:r>
        <w:t xml:space="preserve">(1) </w:t>
      </w:r>
      <w:r>
        <w:tab/>
        <w:t>If a person’s name is not entered on the Reporting Entities Roll, the person must:</w:t>
      </w:r>
    </w:p>
    <w:p w:rsidR="00C71317" w:rsidRDefault="00C71317" w:rsidP="00C71317">
      <w:pPr>
        <w:pStyle w:val="Quote2"/>
        <w:ind w:left="2160" w:hanging="720"/>
      </w:pPr>
      <w:r>
        <w:t>(a)</w:t>
      </w:r>
      <w:r>
        <w:tab/>
        <w:t>if the person provided a designated service during the period of 28 days before the commencement of this section—apply in writing to the AUSTRAC CEO under subsection 51E(1) within 28 days after the commencement of this section; or</w:t>
      </w:r>
    </w:p>
    <w:p w:rsidR="00C71317" w:rsidRDefault="00C71317" w:rsidP="00C71317">
      <w:pPr>
        <w:pStyle w:val="Quote2"/>
        <w:ind w:left="2160" w:hanging="720"/>
      </w:pPr>
      <w:r>
        <w:t>(b)</w:t>
      </w:r>
      <w:r>
        <w:tab/>
        <w:t xml:space="preserve"> if the person commences to provide a designated service after the commencement of this section—apply in writing to the AUSTRAC CEO under subsection 51E(1) within 28 days after commencing to provide the designated service.</w:t>
      </w:r>
    </w:p>
    <w:p w:rsidR="00C71317" w:rsidRDefault="00C71317" w:rsidP="006875BB">
      <w:pPr>
        <w:pStyle w:val="Quote1"/>
        <w:spacing w:after="120"/>
      </w:pPr>
      <w:r>
        <w:t>…’</w:t>
      </w:r>
    </w:p>
    <w:p w:rsidR="00C71317" w:rsidRDefault="00C71317" w:rsidP="00C71317">
      <w:pPr>
        <w:pStyle w:val="Quote1"/>
      </w:pPr>
      <w:r>
        <w:t xml:space="preserve"> </w:t>
      </w:r>
    </w:p>
    <w:p w:rsidR="00C71317" w:rsidRDefault="00C71317" w:rsidP="00C71317">
      <w:pPr>
        <w:pStyle w:val="ParaNumbering"/>
      </w:pPr>
      <w:r>
        <w:t>Section 51B commenced on 1 November 2011.  It is admitted that TAB was providing designated services in the 28 day period before that date.  Consequently</w:t>
      </w:r>
      <w:r w:rsidR="00F039D9">
        <w:t>,</w:t>
      </w:r>
      <w:r>
        <w:t xml:space="preserve"> it was obliged by s 51B(1)(a) to apply in writing </w:t>
      </w:r>
      <w:r w:rsidR="00C56036">
        <w:t xml:space="preserve">to the CEO </w:t>
      </w:r>
      <w:r>
        <w:t>under s 51E(1).  In turn</w:t>
      </w:r>
      <w:r w:rsidR="0032524C">
        <w:t>, that section</w:t>
      </w:r>
      <w:r>
        <w:t xml:space="preserve"> permitted a person to apply to be enrolled on the register.  TAB did not so apply within 2</w:t>
      </w:r>
      <w:r w:rsidR="00B11360">
        <w:t>8</w:t>
      </w:r>
      <w:r>
        <w:t xml:space="preserve"> days after 1 November 2011.  This involved a contravention of s 51B(1)(a).  Since this occurred in 2011</w:t>
      </w:r>
      <w:r w:rsidR="00B11360">
        <w:t>,</w:t>
      </w:r>
      <w:r>
        <w:t xml:space="preserve"> the maximum possible penalty is $11 million.</w:t>
      </w:r>
    </w:p>
    <w:p w:rsidR="00C71317" w:rsidRDefault="00C71317" w:rsidP="00C71317">
      <w:pPr>
        <w:pStyle w:val="ParaNumbering"/>
      </w:pPr>
      <w:r>
        <w:t>In 2011</w:t>
      </w:r>
      <w:r w:rsidR="00B11360">
        <w:t>,</w:t>
      </w:r>
      <w:r>
        <w:t xml:space="preserve"> TAB was a wholly owned subsidiary of </w:t>
      </w:r>
      <w:r w:rsidR="0032524C">
        <w:t>TAH</w:t>
      </w:r>
      <w:r>
        <w:t xml:space="preserve">.  There is no doubt that TAB was </w:t>
      </w:r>
      <w:r w:rsidR="00F039D9">
        <w:t xml:space="preserve">then </w:t>
      </w:r>
      <w:r>
        <w:t xml:space="preserve">a reporting entity but the parties </w:t>
      </w:r>
      <w:r w:rsidR="00F039D9">
        <w:t xml:space="preserve">also </w:t>
      </w:r>
      <w:r>
        <w:t>agreed that TA</w:t>
      </w:r>
      <w:r w:rsidR="00F039D9">
        <w:t>H</w:t>
      </w:r>
      <w:r>
        <w:t xml:space="preserve"> was a </w:t>
      </w:r>
      <w:r w:rsidR="00EA7000">
        <w:t>reporting entity at th</w:t>
      </w:r>
      <w:r w:rsidR="00F039D9">
        <w:t xml:space="preserve">at </w:t>
      </w:r>
      <w:r w:rsidR="00EA7000">
        <w:t>time</w:t>
      </w:r>
      <w:r w:rsidR="00F039D9">
        <w:t xml:space="preserve"> too</w:t>
      </w:r>
      <w:r w:rsidR="00EA7000">
        <w:t>.  It was the understanding with</w:t>
      </w:r>
      <w:r w:rsidR="0032524C">
        <w:t>in</w:t>
      </w:r>
      <w:r w:rsidR="00EA7000">
        <w:t xml:space="preserve"> TAB at the time</w:t>
      </w:r>
      <w:r w:rsidR="00F039D9">
        <w:t xml:space="preserve"> of the contravention </w:t>
      </w:r>
      <w:r w:rsidR="00EA7000">
        <w:t xml:space="preserve">that because the parent </w:t>
      </w:r>
      <w:r w:rsidR="00EA7000">
        <w:lastRenderedPageBreak/>
        <w:t>entity TAH was a reporting entity</w:t>
      </w:r>
      <w:r w:rsidR="00BA7AB0">
        <w:t>, TAB</w:t>
      </w:r>
      <w:r w:rsidR="00C56036">
        <w:t>,</w:t>
      </w:r>
      <w:r w:rsidR="00BA7AB0">
        <w:t xml:space="preserve"> as the subsidiary</w:t>
      </w:r>
      <w:r w:rsidR="0032524C">
        <w:t>,</w:t>
      </w:r>
      <w:r w:rsidR="00BA7AB0">
        <w:t xml:space="preserve"> </w:t>
      </w:r>
      <w:r w:rsidR="00F039D9">
        <w:t xml:space="preserve">was permitted to </w:t>
      </w:r>
      <w:r w:rsidR="00BA7AB0">
        <w:t xml:space="preserve">report via </w:t>
      </w:r>
      <w:r w:rsidR="00C3161D">
        <w:t>it</w:t>
      </w:r>
      <w:r w:rsidR="005B3740">
        <w:t>s</w:t>
      </w:r>
      <w:r w:rsidR="00C3161D">
        <w:t xml:space="preserve"> parent</w:t>
      </w:r>
      <w:r w:rsidR="00BA7AB0">
        <w:t xml:space="preserve">.  It was therefore </w:t>
      </w:r>
      <w:r w:rsidR="00C3161D">
        <w:t>believed</w:t>
      </w:r>
      <w:r w:rsidR="00BA7AB0">
        <w:t xml:space="preserve">, erroneously, that TAB did not need to enrol and it was sufficient that TAH </w:t>
      </w:r>
      <w:r w:rsidR="0032524C">
        <w:t>had done</w:t>
      </w:r>
      <w:r w:rsidR="00BA7AB0">
        <w:t xml:space="preserve"> so.  </w:t>
      </w:r>
    </w:p>
    <w:p w:rsidR="00BA7AB0" w:rsidRDefault="00BA7AB0" w:rsidP="00C71317">
      <w:pPr>
        <w:pStyle w:val="ParaNumbering"/>
      </w:pPr>
      <w:r>
        <w:t>TAB remained ignorant of the requirement f</w:t>
      </w:r>
      <w:r w:rsidR="00C3161D">
        <w:t>or</w:t>
      </w:r>
      <w:r>
        <w:t xml:space="preserve"> enrolment until November 2013 when it was informed by AUST</w:t>
      </w:r>
      <w:r w:rsidR="0032524C">
        <w:t>R</w:t>
      </w:r>
      <w:r>
        <w:t xml:space="preserve">AC </w:t>
      </w:r>
      <w:r w:rsidR="001110B5">
        <w:t>that it needed to do so</w:t>
      </w:r>
      <w:r>
        <w:t xml:space="preserve">.  It </w:t>
      </w:r>
      <w:r w:rsidR="001110B5">
        <w:t xml:space="preserve">then </w:t>
      </w:r>
      <w:r>
        <w:t>did so on 12 November 2013.  Despite its failure to enrol, TAB continued to report to AUSTRAC via TAH</w:t>
      </w:r>
      <w:r w:rsidR="0003685B">
        <w:t xml:space="preserve"> throughout the period </w:t>
      </w:r>
      <w:r w:rsidR="00E91875">
        <w:t xml:space="preserve">between </w:t>
      </w:r>
      <w:r w:rsidR="0003685B">
        <w:t>1 November 2011 and 12 November 2013</w:t>
      </w:r>
      <w:r>
        <w:t>.</w:t>
      </w:r>
    </w:p>
    <w:p w:rsidR="00BA7AB0" w:rsidRDefault="00BA7AB0" w:rsidP="00C56036">
      <w:pPr>
        <w:pStyle w:val="ParaNumbering"/>
      </w:pPr>
      <w:r>
        <w:t xml:space="preserve">It seems to me that I should accept the submission of the parties that this contravention was not deliberate and arose from a misunderstanding.  It was addressed as soon as it was identified and it is clear </w:t>
      </w:r>
      <w:r w:rsidR="001110B5">
        <w:t xml:space="preserve">that </w:t>
      </w:r>
      <w:r>
        <w:t xml:space="preserve">it will not be repeated.  Were the matter to be viewed only from the perspective of TAB there might be something to be said for imposing a very modest </w:t>
      </w:r>
      <w:r w:rsidR="001110B5">
        <w:t>civil penalty</w:t>
      </w:r>
      <w:r>
        <w:t xml:space="preserve"> since it is not in need of further deterrence.</w:t>
      </w:r>
      <w:r w:rsidR="00C56036">
        <w:t xml:space="preserve">  </w:t>
      </w:r>
      <w:r>
        <w:t xml:space="preserve">However, the requirements </w:t>
      </w:r>
      <w:r w:rsidR="007F1FB6">
        <w:t xml:space="preserve">of general deterrence </w:t>
      </w:r>
      <w:r w:rsidR="001110B5">
        <w:t>necessitate</w:t>
      </w:r>
      <w:r w:rsidR="007F1FB6">
        <w:t xml:space="preserve"> the imposition of a substantial </w:t>
      </w:r>
      <w:r w:rsidR="001110B5">
        <w:t xml:space="preserve">penalty </w:t>
      </w:r>
      <w:r w:rsidR="007F1FB6">
        <w:t xml:space="preserve">so that it is known that even minor breaches of the Act have very serious consequences.  </w:t>
      </w:r>
      <w:r w:rsidR="00C3161D">
        <w:t>I take into account the matters set out in Section 2</w:t>
      </w:r>
      <w:r w:rsidR="00C56036">
        <w:t xml:space="preserve"> above</w:t>
      </w:r>
      <w:r w:rsidR="00C3161D">
        <w:t xml:space="preserve">.  </w:t>
      </w:r>
      <w:r w:rsidR="007F1FB6">
        <w:t>I take into account that TAB has not contravened the provision before (nor could it) but also its size which is likely to have some bearing on the assessment of the deterrent effect.  For the year ending 30 June 201</w:t>
      </w:r>
      <w:r w:rsidR="00173A35">
        <w:t>6</w:t>
      </w:r>
      <w:r w:rsidR="00C37630">
        <w:t>,</w:t>
      </w:r>
      <w:r w:rsidR="007F1FB6">
        <w:t xml:space="preserve"> the consolidated group had earnings of $2.1887 billion.  The contravention continued for two ye</w:t>
      </w:r>
      <w:r w:rsidR="0032524C">
        <w:t>a</w:t>
      </w:r>
      <w:r w:rsidR="007F1FB6">
        <w:t xml:space="preserve">rs but I am satisfied that it was not the result of </w:t>
      </w:r>
      <w:r w:rsidR="00C37630">
        <w:t>B</w:t>
      </w:r>
      <w:r w:rsidR="007F1FB6">
        <w:t>oard or senior management action.</w:t>
      </w:r>
    </w:p>
    <w:p w:rsidR="007F1FB6" w:rsidRDefault="001110B5" w:rsidP="00C71317">
      <w:pPr>
        <w:pStyle w:val="ParaNumbering"/>
      </w:pPr>
      <w:r>
        <w:t>The parties suggested that a</w:t>
      </w:r>
      <w:r w:rsidR="007F1FB6">
        <w:t xml:space="preserve"> civil penalty of $</w:t>
      </w:r>
      <w:r w:rsidR="00935505">
        <w:t>5</w:t>
      </w:r>
      <w:r w:rsidR="007F1FB6">
        <w:t xml:space="preserve">00,000 should be imposed. </w:t>
      </w:r>
      <w:r>
        <w:t>In my opinion, this is within the range of legitimate penalties.  It will demonstrate that e</w:t>
      </w:r>
      <w:r w:rsidR="007F1FB6">
        <w:t xml:space="preserve">ven </w:t>
      </w:r>
      <w:r w:rsidR="009E606C">
        <w:t>inconsequential</w:t>
      </w:r>
      <w:r w:rsidR="007F1FB6">
        <w:t xml:space="preserve"> breaches of the Act have serious consequences.</w:t>
      </w:r>
    </w:p>
    <w:p w:rsidR="007F1FB6" w:rsidRDefault="007F1FB6" w:rsidP="007F1FB6">
      <w:pPr>
        <w:pStyle w:val="Heading3"/>
      </w:pPr>
      <w:r>
        <w:t xml:space="preserve">(b)   </w:t>
      </w:r>
      <w:r w:rsidR="001110B5">
        <w:t>Section</w:t>
      </w:r>
      <w:r>
        <w:t xml:space="preserve"> 81</w:t>
      </w:r>
    </w:p>
    <w:p w:rsidR="007F1FB6" w:rsidRDefault="007F1FB6" w:rsidP="007F1FB6">
      <w:pPr>
        <w:pStyle w:val="ParaNumbering"/>
      </w:pPr>
      <w:r>
        <w:t>Section 81</w:t>
      </w:r>
      <w:r w:rsidR="000407D8">
        <w:t xml:space="preserve"> of the Act</w:t>
      </w:r>
      <w:r>
        <w:t xml:space="preserve"> provides:</w:t>
      </w:r>
    </w:p>
    <w:p w:rsidR="007F1FB6" w:rsidRDefault="007F1FB6" w:rsidP="007F1FB6">
      <w:pPr>
        <w:pStyle w:val="Quote1"/>
      </w:pPr>
      <w:r>
        <w:t>‘</w:t>
      </w:r>
      <w:r w:rsidRPr="009E606C">
        <w:rPr>
          <w:b/>
        </w:rPr>
        <w:t>81  Reporting entity must have an anti</w:t>
      </w:r>
      <w:r w:rsidRPr="009E606C">
        <w:rPr>
          <w:rFonts w:ascii="Cambria Math" w:hAnsi="Cambria Math" w:cs="Cambria Math"/>
          <w:b/>
        </w:rPr>
        <w:t>‑</w:t>
      </w:r>
      <w:r w:rsidRPr="009E606C">
        <w:rPr>
          <w:b/>
        </w:rPr>
        <w:t>money laundering and counter</w:t>
      </w:r>
      <w:r w:rsidRPr="009E606C">
        <w:rPr>
          <w:rFonts w:ascii="Cambria Math" w:hAnsi="Cambria Math" w:cs="Cambria Math"/>
          <w:b/>
        </w:rPr>
        <w:t>‑</w:t>
      </w:r>
      <w:r w:rsidRPr="009E606C">
        <w:rPr>
          <w:b/>
        </w:rPr>
        <w:t>terrorism financing program</w:t>
      </w:r>
    </w:p>
    <w:p w:rsidR="007F1FB6" w:rsidRDefault="007F1FB6" w:rsidP="001E63ED">
      <w:pPr>
        <w:pStyle w:val="Quote1"/>
        <w:ind w:left="1440" w:hanging="703"/>
      </w:pPr>
      <w:r>
        <w:t xml:space="preserve">(1) </w:t>
      </w:r>
      <w:r w:rsidR="001E63ED">
        <w:tab/>
      </w:r>
      <w:r>
        <w:t>A reporting entity must not commence to provide a designated service to a customer if the reporting entity:</w:t>
      </w:r>
    </w:p>
    <w:p w:rsidR="007F1FB6" w:rsidRDefault="007F1FB6" w:rsidP="001E63ED">
      <w:pPr>
        <w:pStyle w:val="Quote2"/>
      </w:pPr>
      <w:r>
        <w:t xml:space="preserve">(a) </w:t>
      </w:r>
      <w:r w:rsidR="001E63ED">
        <w:tab/>
      </w:r>
      <w:r>
        <w:t>has not adopted; and</w:t>
      </w:r>
    </w:p>
    <w:p w:rsidR="007F1FB6" w:rsidRDefault="007F1FB6" w:rsidP="001E63ED">
      <w:pPr>
        <w:pStyle w:val="Quote2"/>
      </w:pPr>
      <w:r>
        <w:t xml:space="preserve">(b) </w:t>
      </w:r>
      <w:r w:rsidR="001E63ED">
        <w:tab/>
      </w:r>
      <w:r>
        <w:t>does not maintain;</w:t>
      </w:r>
    </w:p>
    <w:p w:rsidR="007F1FB6" w:rsidRDefault="007F1FB6" w:rsidP="001E63ED">
      <w:pPr>
        <w:pStyle w:val="Quote2"/>
      </w:pPr>
      <w:r>
        <w:t>an anti</w:t>
      </w:r>
      <w:r>
        <w:rPr>
          <w:rFonts w:ascii="Cambria Math" w:hAnsi="Cambria Math" w:cs="Cambria Math"/>
        </w:rPr>
        <w:t>‑</w:t>
      </w:r>
      <w:r>
        <w:t>money laundering and counter</w:t>
      </w:r>
      <w:r>
        <w:rPr>
          <w:rFonts w:ascii="Cambria Math" w:hAnsi="Cambria Math" w:cs="Cambria Math"/>
        </w:rPr>
        <w:t>‑</w:t>
      </w:r>
      <w:r>
        <w:t>terrorism financing program that applies to the reporting entity.</w:t>
      </w:r>
    </w:p>
    <w:p w:rsidR="007F1FB6" w:rsidRDefault="007F1FB6" w:rsidP="007F1FB6">
      <w:pPr>
        <w:pStyle w:val="Quote1"/>
      </w:pPr>
      <w:r>
        <w:lastRenderedPageBreak/>
        <w:t>Civil penalty</w:t>
      </w:r>
    </w:p>
    <w:p w:rsidR="007F1FB6" w:rsidRDefault="007F1FB6" w:rsidP="000407D8">
      <w:pPr>
        <w:pStyle w:val="Quote1"/>
        <w:spacing w:after="120"/>
      </w:pPr>
      <w:r>
        <w:t xml:space="preserve">(2)  </w:t>
      </w:r>
      <w:r w:rsidR="001E63ED">
        <w:tab/>
      </w:r>
      <w:r>
        <w:t>Subsection (1) is a civil penalty provision.</w:t>
      </w:r>
      <w:r w:rsidR="001E63ED">
        <w:t>’</w:t>
      </w:r>
    </w:p>
    <w:p w:rsidR="007F1FB6" w:rsidRDefault="007F1FB6" w:rsidP="007F1FB6">
      <w:pPr>
        <w:pStyle w:val="Quote1"/>
      </w:pPr>
    </w:p>
    <w:p w:rsidR="007F1FB6" w:rsidRDefault="007F1FB6" w:rsidP="007F1FB6">
      <w:pPr>
        <w:pStyle w:val="ParaNumbering"/>
      </w:pPr>
      <w:r>
        <w:t>I return to the detail of this shortly</w:t>
      </w:r>
      <w:r w:rsidR="000407D8">
        <w:t>,</w:t>
      </w:r>
      <w:r>
        <w:t xml:space="preserve"> but it is useful to state in the first instance that the basic factual thrust of th</w:t>
      </w:r>
      <w:r w:rsidR="0032524C">
        <w:t>is</w:t>
      </w:r>
      <w:r>
        <w:t xml:space="preserve"> allegation is that</w:t>
      </w:r>
      <w:r w:rsidR="000407D8">
        <w:t>,</w:t>
      </w:r>
      <w:r>
        <w:t xml:space="preserve"> for a period of about three years between 25 September 2012 and 30</w:t>
      </w:r>
      <w:r w:rsidR="001E63ED">
        <w:t xml:space="preserve"> December 2015</w:t>
      </w:r>
      <w:r w:rsidR="000407D8">
        <w:t>, TAB</w:t>
      </w:r>
      <w:r w:rsidR="001E63ED">
        <w:t xml:space="preserve"> had in place an AML/CTF program that did not fully meet the requirements of the Act.  I mention this at the start because it immediately throws into sharp relief some drafting infelicities in s 81.  On its fac</w:t>
      </w:r>
      <w:r w:rsidR="005B3740">
        <w:t>e</w:t>
      </w:r>
      <w:r w:rsidR="001E63ED">
        <w:t xml:space="preserve">, s 81 appears to contain a prohibition on commencing to provide a designated service to a customer unless the two requirements specified in it are met.  That might suggest that whilst a reporting entity fails to comply with (a) or (b) </w:t>
      </w:r>
      <w:r w:rsidR="0032524C">
        <w:t>(</w:t>
      </w:r>
      <w:r w:rsidR="001E63ED">
        <w:t xml:space="preserve">or both) then </w:t>
      </w:r>
      <w:r w:rsidR="001E63ED" w:rsidRPr="00F93A36">
        <w:rPr>
          <w:i/>
        </w:rPr>
        <w:t>each time</w:t>
      </w:r>
      <w:r w:rsidR="001E63ED">
        <w:t xml:space="preserve"> it provides a designated service it contravenes s 81</w:t>
      </w:r>
      <w:r w:rsidR="001110B5">
        <w:t xml:space="preserve"> afresh</w:t>
      </w:r>
      <w:r w:rsidR="001E63ED">
        <w:t>.</w:t>
      </w:r>
    </w:p>
    <w:p w:rsidR="001E63ED" w:rsidRDefault="001E63ED" w:rsidP="007F1FB6">
      <w:pPr>
        <w:pStyle w:val="ParaNumbering"/>
      </w:pPr>
      <w:r>
        <w:t xml:space="preserve">In this Court the parties were in agreement </w:t>
      </w:r>
      <w:r w:rsidR="00F93A36">
        <w:t xml:space="preserve">that </w:t>
      </w:r>
      <w:r>
        <w:t xml:space="preserve">during the </w:t>
      </w:r>
      <w:r w:rsidR="00486C90">
        <w:t xml:space="preserve">relevant </w:t>
      </w:r>
      <w:r>
        <w:t>three year period s</w:t>
      </w:r>
      <w:r w:rsidR="00F730D4">
        <w:t>s 81</w:t>
      </w:r>
      <w:r>
        <w:t>(1)(a) and (b) had not been complied with</w:t>
      </w:r>
      <w:r w:rsidR="00F730D4">
        <w:t>,</w:t>
      </w:r>
      <w:r>
        <w:t xml:space="preserve"> but </w:t>
      </w:r>
      <w:r w:rsidR="00486C90">
        <w:t xml:space="preserve">they </w:t>
      </w:r>
      <w:r>
        <w:t xml:space="preserve">also </w:t>
      </w:r>
      <w:r w:rsidR="00486C90">
        <w:t xml:space="preserve">agreed </w:t>
      </w:r>
      <w:r>
        <w:t xml:space="preserve">that </w:t>
      </w:r>
      <w:r w:rsidR="00486C90">
        <w:t xml:space="preserve">this conduct </w:t>
      </w:r>
      <w:r>
        <w:t xml:space="preserve">amounted to a single contravention. </w:t>
      </w:r>
      <w:r w:rsidR="00486C90">
        <w:t xml:space="preserve"> There are, I think, difficulties in reconciling the agreement of the parties that there was a single contravention of s 81</w:t>
      </w:r>
      <w:r w:rsidR="001110B5">
        <w:t xml:space="preserve"> with its text</w:t>
      </w:r>
      <w:r w:rsidR="00486C90">
        <w:t>.  There are other difficulties</w:t>
      </w:r>
      <w:r w:rsidR="00F730D4">
        <w:t xml:space="preserve"> </w:t>
      </w:r>
      <w:r w:rsidR="00486C90">
        <w:t xml:space="preserve">too. </w:t>
      </w:r>
      <w:r>
        <w:t xml:space="preserve"> </w:t>
      </w:r>
      <w:r w:rsidR="00486C90">
        <w:t>H</w:t>
      </w:r>
      <w:r>
        <w:t>ow</w:t>
      </w:r>
      <w:r w:rsidR="00486C90">
        <w:t xml:space="preserve">, for example, </w:t>
      </w:r>
      <w:r>
        <w:t xml:space="preserve">can </w:t>
      </w:r>
      <w:r w:rsidR="005B3740">
        <w:t xml:space="preserve">it </w:t>
      </w:r>
      <w:r>
        <w:t xml:space="preserve">be said that an AML/CTF program which </w:t>
      </w:r>
      <w:r w:rsidR="001110B5">
        <w:t xml:space="preserve">exists but </w:t>
      </w:r>
      <w:r>
        <w:t xml:space="preserve">is </w:t>
      </w:r>
      <w:r w:rsidR="00486C90">
        <w:t>deficient</w:t>
      </w:r>
      <w:r>
        <w:t xml:space="preserve"> </w:t>
      </w:r>
      <w:r w:rsidR="001110B5">
        <w:t xml:space="preserve">in some way is </w:t>
      </w:r>
      <w:r w:rsidR="00F93A36">
        <w:t xml:space="preserve">nevertheless </w:t>
      </w:r>
      <w:r w:rsidR="001110B5">
        <w:t xml:space="preserve">capable of bringing </w:t>
      </w:r>
      <w:r>
        <w:t>about a breach of s 81</w:t>
      </w:r>
      <w:r w:rsidR="001110B5">
        <w:t>?</w:t>
      </w:r>
      <w:r>
        <w:t xml:space="preserve">  May not such a program still be </w:t>
      </w:r>
      <w:r w:rsidR="001110B5">
        <w:t>‘</w:t>
      </w:r>
      <w:r>
        <w:t>adopted</w:t>
      </w:r>
      <w:r w:rsidR="001110B5">
        <w:t>’</w:t>
      </w:r>
      <w:r>
        <w:t xml:space="preserve"> and </w:t>
      </w:r>
      <w:r w:rsidR="001110B5">
        <w:t>‘</w:t>
      </w:r>
      <w:r>
        <w:t>maintained</w:t>
      </w:r>
      <w:r w:rsidR="001110B5">
        <w:t>’ so that no breach of s 81 occurs</w:t>
      </w:r>
      <w:r>
        <w:t>?</w:t>
      </w:r>
    </w:p>
    <w:p w:rsidR="001E63ED" w:rsidRDefault="001E63ED" w:rsidP="007F1FB6">
      <w:pPr>
        <w:pStyle w:val="ParaNumbering"/>
      </w:pPr>
      <w:r>
        <w:t xml:space="preserve">The central concept in the prohibition in s 81 </w:t>
      </w:r>
      <w:r w:rsidR="00F730D4">
        <w:t>i</w:t>
      </w:r>
      <w:r>
        <w:t>s that of the AM</w:t>
      </w:r>
      <w:r w:rsidR="001110B5">
        <w:t>L</w:t>
      </w:r>
      <w:r>
        <w:t>/CM</w:t>
      </w:r>
      <w:r w:rsidR="001110B5">
        <w:t>F</w:t>
      </w:r>
      <w:r>
        <w:t xml:space="preserve"> program.  This concept is explicated to an extent by s 83 which is in these terms:</w:t>
      </w:r>
    </w:p>
    <w:p w:rsidR="001E63ED" w:rsidRDefault="001E63ED" w:rsidP="001E63ED">
      <w:pPr>
        <w:pStyle w:val="Quote1"/>
      </w:pPr>
      <w:r>
        <w:t>‘</w:t>
      </w:r>
      <w:r w:rsidRPr="00363D8B">
        <w:rPr>
          <w:b/>
        </w:rPr>
        <w:t>83  Anti</w:t>
      </w:r>
      <w:r w:rsidRPr="00363D8B">
        <w:rPr>
          <w:rFonts w:ascii="Cambria Math" w:hAnsi="Cambria Math" w:cs="Cambria Math"/>
          <w:b/>
        </w:rPr>
        <w:t>‑</w:t>
      </w:r>
      <w:r w:rsidRPr="00363D8B">
        <w:rPr>
          <w:b/>
        </w:rPr>
        <w:t>money laundering and counter</w:t>
      </w:r>
      <w:r w:rsidRPr="00363D8B">
        <w:rPr>
          <w:rFonts w:ascii="Cambria Math" w:hAnsi="Cambria Math" w:cs="Cambria Math"/>
          <w:b/>
        </w:rPr>
        <w:t>‑</w:t>
      </w:r>
      <w:r w:rsidRPr="00363D8B">
        <w:rPr>
          <w:b/>
        </w:rPr>
        <w:t>terrorism financing programs</w:t>
      </w:r>
    </w:p>
    <w:p w:rsidR="001E63ED" w:rsidRDefault="001E63ED" w:rsidP="001E63ED">
      <w:pPr>
        <w:pStyle w:val="Quote1"/>
      </w:pPr>
      <w:r>
        <w:t>(1)</w:t>
      </w:r>
      <w:r>
        <w:tab/>
        <w:t xml:space="preserve">An </w:t>
      </w:r>
      <w:r w:rsidRPr="00363D8B">
        <w:rPr>
          <w:b/>
          <w:i/>
        </w:rPr>
        <w:t>anti</w:t>
      </w:r>
      <w:r w:rsidRPr="00363D8B">
        <w:rPr>
          <w:rFonts w:ascii="Cambria Math" w:hAnsi="Cambria Math" w:cs="Cambria Math"/>
          <w:b/>
          <w:i/>
        </w:rPr>
        <w:t>‑</w:t>
      </w:r>
      <w:r w:rsidRPr="00363D8B">
        <w:rPr>
          <w:b/>
          <w:i/>
        </w:rPr>
        <w:t>money laundering and counter</w:t>
      </w:r>
      <w:r w:rsidRPr="00363D8B">
        <w:rPr>
          <w:rFonts w:ascii="Cambria Math" w:hAnsi="Cambria Math" w:cs="Cambria Math"/>
          <w:b/>
          <w:i/>
        </w:rPr>
        <w:t>‑</w:t>
      </w:r>
      <w:r w:rsidRPr="00363D8B">
        <w:rPr>
          <w:b/>
          <w:i/>
        </w:rPr>
        <w:t>terrorism financing program</w:t>
      </w:r>
      <w:r>
        <w:t xml:space="preserve"> is:</w:t>
      </w:r>
    </w:p>
    <w:p w:rsidR="001E63ED" w:rsidRDefault="001E63ED" w:rsidP="001E63ED">
      <w:pPr>
        <w:pStyle w:val="Quote2"/>
        <w:ind w:left="2160" w:hanging="720"/>
      </w:pPr>
      <w:r>
        <w:t>(a)</w:t>
      </w:r>
      <w:r>
        <w:tab/>
        <w:t>a standard anti</w:t>
      </w:r>
      <w:r>
        <w:rPr>
          <w:rFonts w:ascii="Cambria Math" w:hAnsi="Cambria Math" w:cs="Cambria Math"/>
        </w:rPr>
        <w:t>‑</w:t>
      </w:r>
      <w:r>
        <w:t>money laundering and counter</w:t>
      </w:r>
      <w:r>
        <w:rPr>
          <w:rFonts w:ascii="Cambria Math" w:hAnsi="Cambria Math" w:cs="Cambria Math"/>
        </w:rPr>
        <w:t>‑</w:t>
      </w:r>
      <w:r>
        <w:t>terrorism financing program (see section 84); or</w:t>
      </w:r>
    </w:p>
    <w:p w:rsidR="001E63ED" w:rsidRDefault="001E63ED" w:rsidP="001E63ED">
      <w:pPr>
        <w:pStyle w:val="Quote2"/>
        <w:ind w:left="2160" w:hanging="720"/>
      </w:pPr>
      <w:r>
        <w:t>(b)</w:t>
      </w:r>
      <w:r>
        <w:tab/>
        <w:t>a joint anti</w:t>
      </w:r>
      <w:r>
        <w:rPr>
          <w:rFonts w:ascii="Cambria Math" w:hAnsi="Cambria Math" w:cs="Cambria Math"/>
        </w:rPr>
        <w:t>‑</w:t>
      </w:r>
      <w:r>
        <w:t>money laundering and counter</w:t>
      </w:r>
      <w:r>
        <w:rPr>
          <w:rFonts w:ascii="Cambria Math" w:hAnsi="Cambria Math" w:cs="Cambria Math"/>
        </w:rPr>
        <w:t>‑</w:t>
      </w:r>
      <w:r>
        <w:t>terrorism financing program (see section 85); or</w:t>
      </w:r>
    </w:p>
    <w:p w:rsidR="001E63ED" w:rsidRDefault="001E63ED" w:rsidP="001E63ED">
      <w:pPr>
        <w:pStyle w:val="Quote2"/>
        <w:ind w:left="2160" w:hanging="720"/>
      </w:pPr>
      <w:r>
        <w:t>(c)</w:t>
      </w:r>
      <w:r>
        <w:tab/>
        <w:t>a special anti</w:t>
      </w:r>
      <w:r>
        <w:rPr>
          <w:rFonts w:ascii="Cambria Math" w:hAnsi="Cambria Math" w:cs="Cambria Math"/>
        </w:rPr>
        <w:t>‑</w:t>
      </w:r>
      <w:r>
        <w:t>money laundering and counter</w:t>
      </w:r>
      <w:r>
        <w:rPr>
          <w:rFonts w:ascii="Cambria Math" w:hAnsi="Cambria Math" w:cs="Cambria Math"/>
        </w:rPr>
        <w:t>‑</w:t>
      </w:r>
      <w:r>
        <w:t>terrorism financing program (see section 86).</w:t>
      </w:r>
    </w:p>
    <w:p w:rsidR="001E63ED" w:rsidRDefault="001E63ED" w:rsidP="001E63ED">
      <w:pPr>
        <w:pStyle w:val="Quote1"/>
        <w:ind w:left="1440" w:hanging="703"/>
      </w:pPr>
      <w:r>
        <w:t>(2)</w:t>
      </w:r>
      <w:r>
        <w:tab/>
        <w:t>An anti</w:t>
      </w:r>
      <w:r>
        <w:rPr>
          <w:rFonts w:ascii="Cambria Math" w:hAnsi="Cambria Math" w:cs="Cambria Math"/>
        </w:rPr>
        <w:t>‑</w:t>
      </w:r>
      <w:r>
        <w:t>money laundering and counter</w:t>
      </w:r>
      <w:r>
        <w:rPr>
          <w:rFonts w:ascii="Cambria Math" w:hAnsi="Cambria Math" w:cs="Cambria Math"/>
        </w:rPr>
        <w:t>‑</w:t>
      </w:r>
      <w:r>
        <w:t>terrorism financing program is not a legislative instrument.’</w:t>
      </w:r>
    </w:p>
    <w:p w:rsidR="001E63ED" w:rsidRDefault="001E63ED" w:rsidP="001E63ED">
      <w:pPr>
        <w:pStyle w:val="Quote1"/>
      </w:pPr>
    </w:p>
    <w:p w:rsidR="001E63ED" w:rsidRDefault="001E63ED" w:rsidP="007F1FB6">
      <w:pPr>
        <w:pStyle w:val="ParaNumbering"/>
      </w:pPr>
      <w:r>
        <w:lastRenderedPageBreak/>
        <w:t xml:space="preserve">This case is concerned with </w:t>
      </w:r>
      <w:r w:rsidR="00F730D4">
        <w:t>s 83(1)</w:t>
      </w:r>
      <w:r>
        <w:t xml:space="preserve">(b), that is, </w:t>
      </w:r>
      <w:r w:rsidR="007602D1">
        <w:t xml:space="preserve">a </w:t>
      </w:r>
      <w:r w:rsidR="001110B5">
        <w:t>‘</w:t>
      </w:r>
      <w:r w:rsidR="007602D1">
        <w:t>join</w:t>
      </w:r>
      <w:r w:rsidR="00486C90">
        <w:t>t</w:t>
      </w:r>
      <w:r w:rsidR="001110B5">
        <w:t>’</w:t>
      </w:r>
      <w:r w:rsidR="007602D1">
        <w:t xml:space="preserve"> AML/CTF program.  This is </w:t>
      </w:r>
      <w:r w:rsidR="001110B5">
        <w:t xml:space="preserve">further </w:t>
      </w:r>
      <w:r w:rsidR="007602D1">
        <w:t xml:space="preserve">defined </w:t>
      </w:r>
      <w:r w:rsidR="001110B5">
        <w:t>in s 85 to mean:</w:t>
      </w:r>
    </w:p>
    <w:p w:rsidR="007602D1" w:rsidRPr="00363D8B" w:rsidRDefault="007602D1" w:rsidP="007602D1">
      <w:pPr>
        <w:pStyle w:val="Quote1"/>
        <w:rPr>
          <w:b/>
        </w:rPr>
      </w:pPr>
      <w:r w:rsidRPr="00363D8B">
        <w:rPr>
          <w:b/>
        </w:rPr>
        <w:t>85  Joint anti</w:t>
      </w:r>
      <w:r w:rsidRPr="00363D8B">
        <w:rPr>
          <w:rFonts w:ascii="Cambria Math" w:hAnsi="Cambria Math" w:cs="Cambria Math"/>
          <w:b/>
        </w:rPr>
        <w:t>‑</w:t>
      </w:r>
      <w:r w:rsidRPr="00363D8B">
        <w:rPr>
          <w:b/>
        </w:rPr>
        <w:t>money laundering and counter</w:t>
      </w:r>
      <w:r w:rsidRPr="00363D8B">
        <w:rPr>
          <w:rFonts w:ascii="Cambria Math" w:hAnsi="Cambria Math" w:cs="Cambria Math"/>
          <w:b/>
        </w:rPr>
        <w:t>‑</w:t>
      </w:r>
      <w:r w:rsidRPr="00363D8B">
        <w:rPr>
          <w:b/>
        </w:rPr>
        <w:t>terrorism financing program</w:t>
      </w:r>
    </w:p>
    <w:p w:rsidR="007602D1" w:rsidRDefault="007602D1" w:rsidP="007602D1">
      <w:pPr>
        <w:pStyle w:val="Quote1"/>
        <w:ind w:left="1440" w:hanging="703"/>
      </w:pPr>
      <w:r>
        <w:t>(1)</w:t>
      </w:r>
      <w:r>
        <w:tab/>
        <w:t xml:space="preserve">A </w:t>
      </w:r>
      <w:r w:rsidRPr="00363D8B">
        <w:rPr>
          <w:b/>
          <w:i/>
        </w:rPr>
        <w:t>joint anti</w:t>
      </w:r>
      <w:r w:rsidRPr="00363D8B">
        <w:rPr>
          <w:rFonts w:ascii="Cambria Math" w:hAnsi="Cambria Math" w:cs="Cambria Math"/>
          <w:b/>
          <w:i/>
        </w:rPr>
        <w:t>‑</w:t>
      </w:r>
      <w:r w:rsidRPr="00363D8B">
        <w:rPr>
          <w:b/>
          <w:i/>
        </w:rPr>
        <w:t>money laundering and counter</w:t>
      </w:r>
      <w:r w:rsidRPr="00363D8B">
        <w:rPr>
          <w:rFonts w:ascii="Cambria Math" w:hAnsi="Cambria Math" w:cs="Cambria Math"/>
          <w:b/>
          <w:i/>
        </w:rPr>
        <w:t>‑</w:t>
      </w:r>
      <w:r w:rsidRPr="00363D8B">
        <w:rPr>
          <w:b/>
          <w:i/>
        </w:rPr>
        <w:t>terrorism financing program</w:t>
      </w:r>
      <w:r>
        <w:t xml:space="preserve"> is a written program that:</w:t>
      </w:r>
    </w:p>
    <w:p w:rsidR="007602D1" w:rsidRDefault="007602D1" w:rsidP="007602D1">
      <w:pPr>
        <w:pStyle w:val="Quote2"/>
        <w:ind w:left="2160" w:hanging="720"/>
      </w:pPr>
      <w:r>
        <w:t>(a)</w:t>
      </w:r>
      <w:r>
        <w:tab/>
        <w:t>applies to each reporting entity that from time to time belongs to a particular designated business group; and</w:t>
      </w:r>
    </w:p>
    <w:p w:rsidR="007602D1" w:rsidRDefault="007602D1" w:rsidP="007602D1">
      <w:pPr>
        <w:pStyle w:val="Quote2"/>
      </w:pPr>
      <w:r>
        <w:t>(b)</w:t>
      </w:r>
      <w:r>
        <w:tab/>
        <w:t>is divided into the following parts:</w:t>
      </w:r>
    </w:p>
    <w:p w:rsidR="007602D1" w:rsidRDefault="007602D1" w:rsidP="007602D1">
      <w:pPr>
        <w:pStyle w:val="Quote3"/>
      </w:pPr>
      <w:r>
        <w:t>(i)</w:t>
      </w:r>
      <w:r>
        <w:tab/>
        <w:t>Part A (general);</w:t>
      </w:r>
    </w:p>
    <w:p w:rsidR="007602D1" w:rsidRDefault="007602D1" w:rsidP="007602D1">
      <w:pPr>
        <w:pStyle w:val="Quote3"/>
      </w:pPr>
      <w:r>
        <w:t>(ii)</w:t>
      </w:r>
      <w:r>
        <w:tab/>
        <w:t>Part B (customer identification).</w:t>
      </w:r>
    </w:p>
    <w:p w:rsidR="007602D1" w:rsidRPr="009E606C" w:rsidRDefault="007602D1" w:rsidP="007602D1">
      <w:pPr>
        <w:pStyle w:val="Quote1"/>
        <w:rPr>
          <w:sz w:val="20"/>
        </w:rPr>
      </w:pPr>
      <w:r w:rsidRPr="009E606C">
        <w:rPr>
          <w:sz w:val="20"/>
        </w:rPr>
        <w:t>Note: A joint anti</w:t>
      </w:r>
      <w:r w:rsidRPr="009E606C">
        <w:rPr>
          <w:rFonts w:ascii="Cambria Math" w:hAnsi="Cambria Math" w:cs="Cambria Math"/>
          <w:sz w:val="20"/>
        </w:rPr>
        <w:t>‑</w:t>
      </w:r>
      <w:r w:rsidRPr="009E606C">
        <w:rPr>
          <w:sz w:val="20"/>
        </w:rPr>
        <w:t>money laundering and counter</w:t>
      </w:r>
      <w:r w:rsidRPr="009E606C">
        <w:rPr>
          <w:rFonts w:ascii="Cambria Math" w:hAnsi="Cambria Math" w:cs="Cambria Math"/>
          <w:sz w:val="20"/>
        </w:rPr>
        <w:t>‑</w:t>
      </w:r>
      <w:r w:rsidRPr="009E606C">
        <w:rPr>
          <w:sz w:val="20"/>
        </w:rPr>
        <w:t>terrorism financing program does not bind any of those reporting entities unless the reporting entity adopts the program (see section 82).</w:t>
      </w:r>
    </w:p>
    <w:p w:rsidR="007602D1" w:rsidRPr="00363D8B" w:rsidRDefault="007602D1" w:rsidP="007602D1">
      <w:pPr>
        <w:pStyle w:val="Quote1"/>
        <w:rPr>
          <w:i/>
        </w:rPr>
      </w:pPr>
      <w:r w:rsidRPr="00363D8B">
        <w:rPr>
          <w:i/>
        </w:rPr>
        <w:t>Part A (general)</w:t>
      </w:r>
    </w:p>
    <w:p w:rsidR="007602D1" w:rsidRDefault="007602D1" w:rsidP="007602D1">
      <w:pPr>
        <w:pStyle w:val="Quote1"/>
        <w:ind w:left="1440" w:hanging="703"/>
      </w:pPr>
      <w:r>
        <w:t>(2)</w:t>
      </w:r>
      <w:r>
        <w:tab/>
        <w:t>Part A of a joint anti</w:t>
      </w:r>
      <w:r>
        <w:rPr>
          <w:rFonts w:ascii="Cambria Math" w:hAnsi="Cambria Math" w:cs="Cambria Math"/>
        </w:rPr>
        <w:t>‑</w:t>
      </w:r>
      <w:r>
        <w:t>money laundering and counter</w:t>
      </w:r>
      <w:r>
        <w:rPr>
          <w:rFonts w:ascii="Cambria Math" w:hAnsi="Cambria Math" w:cs="Cambria Math"/>
        </w:rPr>
        <w:t>‑</w:t>
      </w:r>
      <w:r>
        <w:t>terrorism financing program is a part:</w:t>
      </w:r>
    </w:p>
    <w:p w:rsidR="007602D1" w:rsidRDefault="007602D1" w:rsidP="007602D1">
      <w:pPr>
        <w:pStyle w:val="Quote2"/>
      </w:pPr>
      <w:r>
        <w:t>(a)</w:t>
      </w:r>
      <w:r>
        <w:tab/>
        <w:t>the primary purpose of which is to:</w:t>
      </w:r>
    </w:p>
    <w:p w:rsidR="007602D1" w:rsidRDefault="007602D1" w:rsidP="007602D1">
      <w:pPr>
        <w:pStyle w:val="Quote3"/>
      </w:pPr>
      <w:r>
        <w:t>(i)</w:t>
      </w:r>
      <w:r>
        <w:tab/>
        <w:t>identify; and</w:t>
      </w:r>
    </w:p>
    <w:p w:rsidR="007602D1" w:rsidRDefault="007602D1" w:rsidP="007602D1">
      <w:pPr>
        <w:pStyle w:val="Quote3"/>
      </w:pPr>
      <w:r>
        <w:t>(ii)</w:t>
      </w:r>
      <w:r>
        <w:tab/>
        <w:t>mitigate; and</w:t>
      </w:r>
    </w:p>
    <w:p w:rsidR="007602D1" w:rsidRDefault="007602D1" w:rsidP="007602D1">
      <w:pPr>
        <w:pStyle w:val="Quote3"/>
      </w:pPr>
      <w:r>
        <w:t>(iii)</w:t>
      </w:r>
      <w:r>
        <w:tab/>
        <w:t>manage;</w:t>
      </w:r>
    </w:p>
    <w:p w:rsidR="007602D1" w:rsidRDefault="007602D1" w:rsidP="007602D1">
      <w:pPr>
        <w:pStyle w:val="Quote3"/>
      </w:pPr>
      <w:r>
        <w:t>the risk each of those reporting entities may reasonably face that the provision by the relevant reporting entity of designated services at or through a permanent establishment of the relevant reporting entity in Australia might (whether inadvertently or otherwise) involve or facilitate:</w:t>
      </w:r>
    </w:p>
    <w:p w:rsidR="007602D1" w:rsidRDefault="007602D1" w:rsidP="007602D1">
      <w:pPr>
        <w:pStyle w:val="Quote3"/>
      </w:pPr>
      <w:r>
        <w:t>(iv)</w:t>
      </w:r>
      <w:r>
        <w:tab/>
        <w:t>money laundering; or</w:t>
      </w:r>
    </w:p>
    <w:p w:rsidR="007602D1" w:rsidRDefault="007602D1" w:rsidP="007602D1">
      <w:pPr>
        <w:pStyle w:val="Quote3"/>
      </w:pPr>
      <w:r>
        <w:t>(v)</w:t>
      </w:r>
      <w:r>
        <w:tab/>
        <w:t>financing of terrorism; and</w:t>
      </w:r>
    </w:p>
    <w:p w:rsidR="007602D1" w:rsidRDefault="007602D1" w:rsidP="007602D1">
      <w:pPr>
        <w:pStyle w:val="Quote2"/>
        <w:ind w:left="2160" w:hanging="720"/>
      </w:pPr>
      <w:r>
        <w:t>(b)</w:t>
      </w:r>
      <w:r>
        <w:tab/>
        <w:t>if any of those reporting entities provides designated services at or through a permanent establishment of the relevant reporting entity in a foreign country—another purpose of which is to ensure that the relevant reporting entity takes such action (if any) as is specified in the AML/CTF Rules in relation to the provision by the relevant reporting entity of designated services at or through a permanent establishment of the relevant reporting entity in a foreign country; and</w:t>
      </w:r>
    </w:p>
    <w:p w:rsidR="007602D1" w:rsidRDefault="007602D1" w:rsidP="007602D1">
      <w:pPr>
        <w:pStyle w:val="Quote2"/>
        <w:ind w:left="2160" w:hanging="720"/>
      </w:pPr>
      <w:r>
        <w:t>(c)</w:t>
      </w:r>
      <w:r>
        <w:tab/>
        <w:t>that complies with such requirements (if any) as are specified in the AML/CTF Rules.</w:t>
      </w:r>
    </w:p>
    <w:p w:rsidR="007602D1" w:rsidRPr="00363D8B" w:rsidRDefault="007602D1" w:rsidP="007602D1">
      <w:pPr>
        <w:pStyle w:val="Quote1"/>
        <w:rPr>
          <w:i/>
        </w:rPr>
      </w:pPr>
      <w:r w:rsidRPr="00363D8B">
        <w:rPr>
          <w:i/>
        </w:rPr>
        <w:t>Part B (customer identification)</w:t>
      </w:r>
    </w:p>
    <w:p w:rsidR="007602D1" w:rsidRDefault="007602D1" w:rsidP="007602D1">
      <w:pPr>
        <w:pStyle w:val="Quote1"/>
        <w:ind w:left="1440" w:hanging="703"/>
      </w:pPr>
      <w:r>
        <w:t>(3)</w:t>
      </w:r>
      <w:r>
        <w:tab/>
        <w:t>Part B of a joint anti</w:t>
      </w:r>
      <w:r>
        <w:rPr>
          <w:rFonts w:ascii="Cambria Math" w:hAnsi="Cambria Math" w:cs="Cambria Math"/>
        </w:rPr>
        <w:t>‑</w:t>
      </w:r>
      <w:r>
        <w:t>money laundering and counter</w:t>
      </w:r>
      <w:r>
        <w:rPr>
          <w:rFonts w:ascii="Cambria Math" w:hAnsi="Cambria Math" w:cs="Cambria Math"/>
        </w:rPr>
        <w:t>‑</w:t>
      </w:r>
      <w:r>
        <w:t>terrorism financing program is a part:</w:t>
      </w:r>
    </w:p>
    <w:p w:rsidR="007602D1" w:rsidRDefault="007602D1" w:rsidP="007602D1">
      <w:pPr>
        <w:pStyle w:val="Quote2"/>
        <w:ind w:left="2160" w:hanging="720"/>
      </w:pPr>
      <w:r>
        <w:lastRenderedPageBreak/>
        <w:t>(a)</w:t>
      </w:r>
      <w:r>
        <w:tab/>
        <w:t>the sole or primary purpose of which is to set out the applicable customer identification procedures for the purposes of the application of this Act to customers of each of those reporting entities; and</w:t>
      </w:r>
    </w:p>
    <w:p w:rsidR="007602D1" w:rsidRDefault="007602D1" w:rsidP="007602D1">
      <w:pPr>
        <w:pStyle w:val="Quote2"/>
        <w:ind w:left="2160" w:hanging="720"/>
      </w:pPr>
      <w:r>
        <w:t>(b)</w:t>
      </w:r>
      <w:r>
        <w:tab/>
        <w:t>that complies with such requirements (if any) as are specified in the AML/CTF Rules.</w:t>
      </w:r>
    </w:p>
    <w:p w:rsidR="007602D1" w:rsidRPr="00363D8B" w:rsidRDefault="007602D1" w:rsidP="007602D1">
      <w:pPr>
        <w:pStyle w:val="Quote1"/>
        <w:rPr>
          <w:i/>
        </w:rPr>
      </w:pPr>
      <w:r w:rsidRPr="00363D8B">
        <w:rPr>
          <w:i/>
        </w:rPr>
        <w:t>Different reporting entities</w:t>
      </w:r>
    </w:p>
    <w:p w:rsidR="007602D1" w:rsidRDefault="007602D1" w:rsidP="007602D1">
      <w:pPr>
        <w:pStyle w:val="Quote1"/>
        <w:ind w:left="1440" w:hanging="703"/>
      </w:pPr>
      <w:r>
        <w:t>(4)</w:t>
      </w:r>
      <w:r>
        <w:tab/>
        <w:t>A joint anti</w:t>
      </w:r>
      <w:r>
        <w:rPr>
          <w:rFonts w:ascii="Cambria Math" w:hAnsi="Cambria Math" w:cs="Cambria Math"/>
        </w:rPr>
        <w:t>‑</w:t>
      </w:r>
      <w:r>
        <w:t>money laundering and counter</w:t>
      </w:r>
      <w:r>
        <w:rPr>
          <w:rFonts w:ascii="Cambria Math" w:hAnsi="Cambria Math" w:cs="Cambria Math"/>
        </w:rPr>
        <w:t>‑</w:t>
      </w:r>
      <w:r>
        <w:t>terrorism financing program may make different provision with respect to different reporting entities. This does not limit subsection 33(3A) of the Acts Interpretation Act 1901.</w:t>
      </w:r>
    </w:p>
    <w:p w:rsidR="007602D1" w:rsidRPr="00363D8B" w:rsidRDefault="007602D1" w:rsidP="007602D1">
      <w:pPr>
        <w:pStyle w:val="Quote1"/>
        <w:rPr>
          <w:i/>
        </w:rPr>
      </w:pPr>
      <w:r w:rsidRPr="00363D8B">
        <w:rPr>
          <w:i/>
        </w:rPr>
        <w:t>Reviews</w:t>
      </w:r>
    </w:p>
    <w:p w:rsidR="007602D1" w:rsidRDefault="007602D1" w:rsidP="007602D1">
      <w:pPr>
        <w:pStyle w:val="Quote1"/>
        <w:ind w:left="1440" w:hanging="703"/>
      </w:pPr>
      <w:r>
        <w:t>(5)</w:t>
      </w:r>
      <w:r>
        <w:tab/>
        <w:t>A requirement under paragraph (2)(c) may relate to reviews of a joint anti</w:t>
      </w:r>
      <w:r>
        <w:rPr>
          <w:rFonts w:ascii="Cambria Math" w:hAnsi="Cambria Math" w:cs="Cambria Math"/>
        </w:rPr>
        <w:t>‑</w:t>
      </w:r>
      <w:r>
        <w:t>money laundering and counter</w:t>
      </w:r>
      <w:r>
        <w:rPr>
          <w:rFonts w:ascii="Cambria Math" w:hAnsi="Cambria Math" w:cs="Cambria Math"/>
        </w:rPr>
        <w:t>‑</w:t>
      </w:r>
      <w:r>
        <w:t>terrorism financing program.</w:t>
      </w:r>
    </w:p>
    <w:p w:rsidR="007602D1" w:rsidRPr="00363D8B" w:rsidRDefault="007602D1" w:rsidP="007602D1">
      <w:pPr>
        <w:pStyle w:val="Quote1"/>
        <w:rPr>
          <w:i/>
        </w:rPr>
      </w:pPr>
      <w:r w:rsidRPr="00363D8B">
        <w:rPr>
          <w:i/>
        </w:rPr>
        <w:t>Variation</w:t>
      </w:r>
    </w:p>
    <w:p w:rsidR="007602D1" w:rsidRDefault="007602D1" w:rsidP="00AE0399">
      <w:pPr>
        <w:pStyle w:val="Quote1"/>
        <w:spacing w:after="120"/>
        <w:ind w:left="1440" w:hanging="703"/>
      </w:pPr>
      <w:r>
        <w:t>(7)</w:t>
      </w:r>
      <w:r>
        <w:tab/>
        <w:t>A joint anti</w:t>
      </w:r>
      <w:r>
        <w:rPr>
          <w:rFonts w:ascii="Cambria Math" w:hAnsi="Cambria Math" w:cs="Cambria Math"/>
        </w:rPr>
        <w:t>‑</w:t>
      </w:r>
      <w:r>
        <w:t>money laundering and counter</w:t>
      </w:r>
      <w:r>
        <w:rPr>
          <w:rFonts w:ascii="Cambria Math" w:hAnsi="Cambria Math" w:cs="Cambria Math"/>
        </w:rPr>
        <w:t>‑</w:t>
      </w:r>
      <w:r>
        <w:t>terrorism financing program may be varied, so long as the varied program is a joint anti</w:t>
      </w:r>
      <w:r>
        <w:rPr>
          <w:rFonts w:ascii="Cambria Math" w:hAnsi="Cambria Math" w:cs="Cambria Math"/>
        </w:rPr>
        <w:t>‑</w:t>
      </w:r>
      <w:r>
        <w:t>money laundering and counter</w:t>
      </w:r>
      <w:r>
        <w:rPr>
          <w:rFonts w:ascii="Cambria Math" w:hAnsi="Cambria Math" w:cs="Cambria Math"/>
        </w:rPr>
        <w:t>‑</w:t>
      </w:r>
      <w:r>
        <w:t>terrorism financing program.</w:t>
      </w:r>
    </w:p>
    <w:p w:rsidR="007602D1" w:rsidRDefault="007602D1" w:rsidP="007602D1">
      <w:pPr>
        <w:pStyle w:val="Quote1"/>
      </w:pPr>
    </w:p>
    <w:p w:rsidR="007602D1" w:rsidRDefault="007602D1" w:rsidP="007F1FB6">
      <w:pPr>
        <w:pStyle w:val="ParaNumbering"/>
      </w:pPr>
      <w:r>
        <w:t>There is a statutory requirement to comply with Part A</w:t>
      </w:r>
      <w:r w:rsidR="001110B5">
        <w:t xml:space="preserve"> of a program</w:t>
      </w:r>
      <w:r>
        <w:t xml:space="preserve"> in s 82 and a failure to do so may result in a civil penalty.  The allegation here</w:t>
      </w:r>
      <w:r w:rsidR="00486C90">
        <w:t>, however,</w:t>
      </w:r>
      <w:r>
        <w:t xml:space="preserve"> is not that </w:t>
      </w:r>
      <w:r w:rsidR="004E7EAF">
        <w:t>the Respondents</w:t>
      </w:r>
      <w:r>
        <w:t xml:space="preserve"> failed to comply with </w:t>
      </w:r>
      <w:r w:rsidR="004E7EAF">
        <w:t>their</w:t>
      </w:r>
      <w:r>
        <w:t xml:space="preserve"> program but rather that </w:t>
      </w:r>
      <w:r w:rsidR="004E7EAF">
        <w:t>their</w:t>
      </w:r>
      <w:r>
        <w:t xml:space="preserve"> program fell short.</w:t>
      </w:r>
    </w:p>
    <w:p w:rsidR="007602D1" w:rsidRDefault="007602D1" w:rsidP="007F1FB6">
      <w:pPr>
        <w:pStyle w:val="ParaNumbering"/>
      </w:pPr>
      <w:r>
        <w:t>It will be seen from s 85 that both Part</w:t>
      </w:r>
      <w:r w:rsidR="00626A12">
        <w:t>s</w:t>
      </w:r>
      <w:r>
        <w:t xml:space="preserve"> A and B of a program are defined in a way that includes by s</w:t>
      </w:r>
      <w:r w:rsidR="00F93A36">
        <w:t>s</w:t>
      </w:r>
      <w:r w:rsidR="00486C90">
        <w:t xml:space="preserve"> </w:t>
      </w:r>
      <w:r w:rsidR="00C47DB4">
        <w:t>85</w:t>
      </w:r>
      <w:r w:rsidR="003F57E1">
        <w:t>(</w:t>
      </w:r>
      <w:r>
        <w:t>2</w:t>
      </w:r>
      <w:r w:rsidR="003F57E1">
        <w:t>)</w:t>
      </w:r>
      <w:r>
        <w:t xml:space="preserve">(c) and </w:t>
      </w:r>
      <w:r w:rsidR="00C47DB4">
        <w:t>85</w:t>
      </w:r>
      <w:r>
        <w:t xml:space="preserve">(3)(b) that the relevant part complies with the AML/CTF </w:t>
      </w:r>
      <w:r w:rsidR="00CE173E">
        <w:t>R</w:t>
      </w:r>
      <w:r>
        <w:t>ules (of which more in a moment).  This is an unusual drafting device for it appears, on one view, to have the consequence that a p</w:t>
      </w:r>
      <w:r w:rsidR="00F5483A">
        <w:t>rogram</w:t>
      </w:r>
      <w:r>
        <w:t xml:space="preserve"> which does not comply with those rules is not a p</w:t>
      </w:r>
      <w:r w:rsidR="00F5483A">
        <w:t>rogram</w:t>
      </w:r>
      <w:r w:rsidR="00626A12">
        <w:t>,</w:t>
      </w:r>
      <w:r>
        <w:t xml:space="preserve"> with the further c</w:t>
      </w:r>
      <w:r w:rsidR="00B603D9">
        <w:t>o</w:t>
      </w:r>
      <w:r>
        <w:t>nsequence that the overall AML/CTF program fails to be a program either.</w:t>
      </w:r>
    </w:p>
    <w:p w:rsidR="007602D1" w:rsidRDefault="00B603D9" w:rsidP="007F1FB6">
      <w:pPr>
        <w:pStyle w:val="ParaNumbering"/>
      </w:pPr>
      <w:r>
        <w:t xml:space="preserve">This is not a natural reading of s 85.  The effect of </w:t>
      </w:r>
      <w:r w:rsidR="00486C90">
        <w:t>it, if it be correct,</w:t>
      </w:r>
      <w:r>
        <w:t xml:space="preserve"> is to make a failure to comply, in relation to Part A or Par</w:t>
      </w:r>
      <w:r w:rsidR="006F585A">
        <w:t>t B of a</w:t>
      </w:r>
      <w:r w:rsidR="00626A12">
        <w:t>n</w:t>
      </w:r>
      <w:r w:rsidR="006F585A">
        <w:t xml:space="preserve"> AML/CTF program, with the AML/CTF </w:t>
      </w:r>
      <w:r w:rsidR="00CE173E">
        <w:t>R</w:t>
      </w:r>
      <w:r w:rsidR="006F585A">
        <w:t>ules</w:t>
      </w:r>
      <w:r w:rsidR="00F10313">
        <w:t>,</w:t>
      </w:r>
      <w:r w:rsidR="006F585A">
        <w:t xml:space="preserve"> a civil penalty contravention.  One can readily imagine easier ways of achieving that outcome than through the cumbersome </w:t>
      </w:r>
      <w:r w:rsidR="00486C90">
        <w:t>drafting</w:t>
      </w:r>
      <w:r w:rsidR="006F585A">
        <w:t xml:space="preserve"> of ss 81 and 85.</w:t>
      </w:r>
    </w:p>
    <w:p w:rsidR="006F585A" w:rsidRDefault="00DA1F2C" w:rsidP="007F1FB6">
      <w:pPr>
        <w:pStyle w:val="ParaNumbering"/>
      </w:pPr>
      <w:r>
        <w:t>The difficulty in not reading the provisions in this way</w:t>
      </w:r>
      <w:r w:rsidR="00486C90">
        <w:t>, however,</w:t>
      </w:r>
      <w:r>
        <w:t xml:space="preserve"> is that it has the consequence of depriving a central part of the Act of meaningful operation.  Unless s 85 is construed as setting out essential elements of a plan such that when they are not present there is no program</w:t>
      </w:r>
      <w:r w:rsidR="00626A12">
        <w:t>,</w:t>
      </w:r>
      <w:r w:rsidR="009E606C">
        <w:t xml:space="preserve"> then s 81</w:t>
      </w:r>
      <w:r>
        <w:t xml:space="preserve">, which is the central civil penalty provision, is reduced to a largely ceremonial role in which one merely asks whether a piece of paper exists.  Unattractive </w:t>
      </w:r>
      <w:r>
        <w:lastRenderedPageBreak/>
        <w:t>though the interpretation of s 85 I have outlined is, it appears necessary to ensure that the Act works in a sensible fashion.</w:t>
      </w:r>
    </w:p>
    <w:p w:rsidR="00DA1F2C" w:rsidRDefault="00DA1F2C" w:rsidP="007F1FB6">
      <w:pPr>
        <w:pStyle w:val="ParaNumbering"/>
      </w:pPr>
      <w:r>
        <w:t xml:space="preserve">Accordingly, I conclude that a failure to comply with the AML/CTF </w:t>
      </w:r>
      <w:r w:rsidR="00CE173E">
        <w:t>R</w:t>
      </w:r>
      <w:r>
        <w:t>ules will generally have the consequence of causing an infringement of s 8</w:t>
      </w:r>
      <w:r w:rsidR="009E606C">
        <w:t>1</w:t>
      </w:r>
      <w:r w:rsidR="00063A21">
        <w:t>.  Contrary to the submissions of the parties, I cannot see how the text of s 8</w:t>
      </w:r>
      <w:r w:rsidR="009E606C">
        <w:t>1</w:t>
      </w:r>
      <w:r w:rsidR="00063A21">
        <w:t xml:space="preserve"> can be bent so that it can be read as involving only a single infringement when a program is said to be deficient.  Intractably, it appears to be contravened each time a reporting entity commences to provide a designated service to a customer whilst its program is not</w:t>
      </w:r>
      <w:r w:rsidR="003F57E1">
        <w:t xml:space="preserve"> in</w:t>
      </w:r>
      <w:r w:rsidR="00063A21">
        <w:t xml:space="preserve"> a proper condition.</w:t>
      </w:r>
    </w:p>
    <w:p w:rsidR="00063A21" w:rsidRDefault="00063A21" w:rsidP="007F1FB6">
      <w:pPr>
        <w:pStyle w:val="ParaNumbering"/>
      </w:pPr>
      <w:r>
        <w:t>This otherwise alarming conclusion may, to an extent, be ameliorated by the course of conduct principle referred to above</w:t>
      </w:r>
      <w:r w:rsidR="00FF3F9E">
        <w:t xml:space="preserve"> at [10(xx)]</w:t>
      </w:r>
      <w:r>
        <w:t>.  Where every infringement of s 81 springs from the same deficiencies in a program there is much to be said for the view that what is involved is a single course of conduct.</w:t>
      </w:r>
    </w:p>
    <w:p w:rsidR="00063A21" w:rsidRDefault="00063A21" w:rsidP="007F1FB6">
      <w:pPr>
        <w:pStyle w:val="ParaNumbering"/>
      </w:pPr>
      <w:r>
        <w:t xml:space="preserve">Returning then to the AML/CTF </w:t>
      </w:r>
      <w:r w:rsidR="00CE173E">
        <w:t>R</w:t>
      </w:r>
      <w:r>
        <w:t>ules referred to in s 85, the</w:t>
      </w:r>
      <w:r w:rsidR="003F57E1">
        <w:t>s</w:t>
      </w:r>
      <w:r>
        <w:t xml:space="preserve">e are provided for in s 229 </w:t>
      </w:r>
      <w:r w:rsidR="00CE173E">
        <w:t xml:space="preserve">of the Act </w:t>
      </w:r>
      <w:r>
        <w:t xml:space="preserve">and are made by the CEO as a legislative instrument. </w:t>
      </w:r>
      <w:r w:rsidR="00D857C3">
        <w:t xml:space="preserve"> </w:t>
      </w:r>
      <w:r>
        <w:t>Presently</w:t>
      </w:r>
      <w:r w:rsidR="00486C90">
        <w:t>,</w:t>
      </w:r>
      <w:r>
        <w:t xml:space="preserve"> the relevant set of rules is the </w:t>
      </w:r>
      <w:r w:rsidRPr="00063A21">
        <w:rPr>
          <w:i/>
        </w:rPr>
        <w:t>Anti-</w:t>
      </w:r>
      <w:r w:rsidR="00831B1B">
        <w:rPr>
          <w:i/>
        </w:rPr>
        <w:t>M</w:t>
      </w:r>
      <w:r w:rsidRPr="00063A21">
        <w:rPr>
          <w:i/>
        </w:rPr>
        <w:t>oney Laundering and Counter-Terrorism Financing Rules Instrument 2007 (No.1)</w:t>
      </w:r>
      <w:r w:rsidR="009A07A5">
        <w:rPr>
          <w:i/>
        </w:rPr>
        <w:t xml:space="preserve"> </w:t>
      </w:r>
      <w:r w:rsidR="009A07A5">
        <w:t>(Cth)</w:t>
      </w:r>
      <w:r>
        <w:t>.  The parties did not descen</w:t>
      </w:r>
      <w:r w:rsidR="00486C90">
        <w:t>d</w:t>
      </w:r>
      <w:r>
        <w:t xml:space="preserve"> into the detail of the</w:t>
      </w:r>
      <w:r w:rsidR="00486C90">
        <w:t>se</w:t>
      </w:r>
      <w:r>
        <w:t xml:space="preserve"> rules and instead were content to point to factual matters which were agreed</w:t>
      </w:r>
      <w:r w:rsidR="00486C90">
        <w:t xml:space="preserve"> between them</w:t>
      </w:r>
      <w:r>
        <w:t xml:space="preserve"> to be breaches</w:t>
      </w:r>
      <w:r w:rsidR="003F57E1">
        <w:t xml:space="preserve"> of the rules</w:t>
      </w:r>
      <w:r>
        <w:t>.  Having regard to the identity of the parties</w:t>
      </w:r>
      <w:r w:rsidR="00D857C3">
        <w:t>,</w:t>
      </w:r>
      <w:r>
        <w:t xml:space="preserve"> I pr</w:t>
      </w:r>
      <w:r w:rsidR="003F57E1">
        <w:t>opose to adopt their assumption</w:t>
      </w:r>
      <w:r>
        <w:t>.</w:t>
      </w:r>
    </w:p>
    <w:p w:rsidR="00063A21" w:rsidRDefault="00974B6B" w:rsidP="007F1FB6">
      <w:pPr>
        <w:pStyle w:val="ParaNumbering"/>
      </w:pPr>
      <w:r>
        <w:t>In the agreed statement of facts a large number of these deficiencies were set out.  In their joint submission, the parties narrowed their focus some</w:t>
      </w:r>
      <w:r w:rsidR="00F74A92">
        <w:t>w</w:t>
      </w:r>
      <w:r>
        <w:t xml:space="preserve">hat and identified six (without </w:t>
      </w:r>
      <w:r w:rsidR="00F74A92">
        <w:t>in any</w:t>
      </w:r>
      <w:r w:rsidR="00D857C3">
        <w:t xml:space="preserve"> </w:t>
      </w:r>
      <w:r w:rsidR="00F74A92">
        <w:t xml:space="preserve">way abandoning the others).  The six were set out as follows in the joint submission and no purpose is served by </w:t>
      </w:r>
      <w:r w:rsidR="00B66A1B">
        <w:t>me</w:t>
      </w:r>
      <w:r w:rsidR="00F74A92">
        <w:t xml:space="preserve"> paraphrasing </w:t>
      </w:r>
      <w:r w:rsidR="00E86549">
        <w:t>that submission</w:t>
      </w:r>
      <w:r w:rsidR="00F74A92">
        <w:t>:</w:t>
      </w:r>
    </w:p>
    <w:p w:rsidR="00F74A92" w:rsidRDefault="00380201" w:rsidP="00380201">
      <w:pPr>
        <w:pStyle w:val="Quote1"/>
        <w:ind w:left="1440" w:hanging="703"/>
      </w:pPr>
      <w:r>
        <w:t>‘(a)</w:t>
      </w:r>
      <w:r>
        <w:tab/>
      </w:r>
      <w:r w:rsidR="00F74A92">
        <w:t xml:space="preserve">Parts A and B of the Former Program were not originally aligned with a risk assessment that comprehensively identified and evaluated the ML/TF risk posed </w:t>
      </w:r>
      <w:r>
        <w:t>to</w:t>
      </w:r>
      <w:r w:rsidR="00F74A92">
        <w:t xml:space="preserve"> Tabcorp’s business, and therefore they did not origina</w:t>
      </w:r>
      <w:r>
        <w:t>l</w:t>
      </w:r>
      <w:r w:rsidR="00F74A92">
        <w:t>ly have regard to the full extent of the ML/TF risks to which Tabcorp was exposed.</w:t>
      </w:r>
    </w:p>
    <w:p w:rsidR="00F74A92" w:rsidRDefault="00380201" w:rsidP="00380201">
      <w:pPr>
        <w:pStyle w:val="Quote1"/>
        <w:ind w:left="1440" w:hanging="703"/>
      </w:pPr>
      <w:r>
        <w:t xml:space="preserve"> (b)</w:t>
      </w:r>
      <w:r>
        <w:tab/>
        <w:t>Tabcorp’s written transaction monitoring program did not include appropriate risk-based systems and controls to consistently monitor the transactions of customers.</w:t>
      </w:r>
    </w:p>
    <w:p w:rsidR="00380201" w:rsidRDefault="00380201" w:rsidP="00380201">
      <w:pPr>
        <w:pStyle w:val="Quote1"/>
        <w:ind w:left="1440" w:hanging="703"/>
      </w:pPr>
      <w:r>
        <w:t xml:space="preserve"> (c)</w:t>
      </w:r>
      <w:r>
        <w:tab/>
        <w:t>Tabcorp’s Former Program did not specifically require it to apply ECDD to customers in each case where a circumstance prescribed by rule 15.9 arose.  It also railed to establish sufficient controls for consistently supporting the conduct of ECDD to ensure operational execution, monitoring and internal reporting.</w:t>
      </w:r>
    </w:p>
    <w:p w:rsidR="00380201" w:rsidRDefault="00380201" w:rsidP="00380201">
      <w:pPr>
        <w:pStyle w:val="Quote1"/>
        <w:ind w:left="1440" w:hanging="703"/>
      </w:pPr>
      <w:r>
        <w:t xml:space="preserve"> (d) </w:t>
      </w:r>
      <w:r>
        <w:tab/>
        <w:t xml:space="preserve">Tabcorp’s written EDD program did not include appropriate systems and </w:t>
      </w:r>
      <w:r>
        <w:lastRenderedPageBreak/>
        <w:t>controls to determine whether to re-screen employees who were transferred or promoted to certain positions.</w:t>
      </w:r>
    </w:p>
    <w:p w:rsidR="00380201" w:rsidRDefault="00D857C3" w:rsidP="00D857C3">
      <w:pPr>
        <w:pStyle w:val="Quote1"/>
        <w:ind w:left="1440" w:hanging="703"/>
      </w:pPr>
      <w:r>
        <w:t xml:space="preserve"> (e)</w:t>
      </w:r>
      <w:r>
        <w:tab/>
        <w:t>Tabcorp did not include appropriate systems and controls in part A of  its Former Program to consistently ensure compliance with its s 41 reporting obligations.</w:t>
      </w:r>
    </w:p>
    <w:p w:rsidR="00380201" w:rsidRDefault="00380201" w:rsidP="00441679">
      <w:pPr>
        <w:pStyle w:val="Quote1"/>
        <w:spacing w:after="120"/>
        <w:ind w:left="1440" w:hanging="703"/>
      </w:pPr>
      <w:r>
        <w:t xml:space="preserve"> (f) </w:t>
      </w:r>
      <w:r>
        <w:tab/>
        <w:t xml:space="preserve">Tabcorp’s written Part B Program did not include appropriate risk-based systems and controls that were designed to enable Tabcorp to be reasonably satisfied that the customer was who they claimed to be in that it failed to </w:t>
      </w:r>
      <w:r w:rsidR="00E3581C">
        <w:t>i</w:t>
      </w:r>
      <w:r>
        <w:t>nclude customer identification procedures for retail customers in certain circumstances.  It also failed to include an appropriate procedure to collect information relating to customers’ agents.’</w:t>
      </w:r>
    </w:p>
    <w:p w:rsidR="00F74A92" w:rsidRDefault="00F74A92" w:rsidP="00F74A92">
      <w:pPr>
        <w:pStyle w:val="Quote1"/>
      </w:pPr>
    </w:p>
    <w:p w:rsidR="00F74A92" w:rsidRDefault="004E7EAF" w:rsidP="00F74A92">
      <w:pPr>
        <w:pStyle w:val="ParaNumbering"/>
      </w:pPr>
      <w:r>
        <w:t>The Respondents</w:t>
      </w:r>
      <w:r w:rsidR="00F74A92">
        <w:t xml:space="preserve"> admit that these deficiencies were serious and related to core elements of its AML/CTF obligations.  The correctness of that admission is born</w:t>
      </w:r>
      <w:r w:rsidR="00E3581C">
        <w:t>e</w:t>
      </w:r>
      <w:r w:rsidR="00F74A92">
        <w:t xml:space="preserve"> out to an extent by the further fact, also admitted by </w:t>
      </w:r>
      <w:r>
        <w:t>the Respondents</w:t>
      </w:r>
      <w:r w:rsidR="00F74A92">
        <w:t xml:space="preserve">, that the deficiencies in </w:t>
      </w:r>
      <w:r>
        <w:t>their</w:t>
      </w:r>
      <w:r w:rsidR="00F74A92">
        <w:t xml:space="preserve"> program had, in fact, resulted in failures on </w:t>
      </w:r>
      <w:r>
        <w:t>their</w:t>
      </w:r>
      <w:r w:rsidR="00F74A92">
        <w:t xml:space="preserve"> part to detect certain suspicious transactions and to</w:t>
      </w:r>
      <w:r w:rsidR="00F93A36">
        <w:t xml:space="preserve"> submit</w:t>
      </w:r>
      <w:r w:rsidR="00F74A92">
        <w:t xml:space="preserve"> </w:t>
      </w:r>
      <w:r w:rsidR="003F57E1">
        <w:t>suspicious matter reports (‘SMRs’)</w:t>
      </w:r>
      <w:r w:rsidR="00F93A36">
        <w:t xml:space="preserve"> to</w:t>
      </w:r>
      <w:r w:rsidR="00F74A92">
        <w:t xml:space="preserve"> AUSTRAC. </w:t>
      </w:r>
      <w:r w:rsidR="00441679">
        <w:t xml:space="preserve"> </w:t>
      </w:r>
      <w:r w:rsidR="00F74A92">
        <w:t>The failure to lodge these SMRs can</w:t>
      </w:r>
      <w:r w:rsidR="00F93A36">
        <w:t>, it is agreed,</w:t>
      </w:r>
      <w:r w:rsidR="00F74A92">
        <w:t xml:space="preserve"> have the effect of depriving law enforcement agencies of important intelligence.</w:t>
      </w:r>
    </w:p>
    <w:p w:rsidR="00F74A92" w:rsidRDefault="00F74A92" w:rsidP="00F74A92">
      <w:pPr>
        <w:pStyle w:val="ParaNumbering"/>
      </w:pPr>
      <w:r>
        <w:t xml:space="preserve">It was agreed that during the time that the program was in place there were insufficient processes for consistent management oversight, assurance and operational execution of the </w:t>
      </w:r>
      <w:r w:rsidR="003F57E1">
        <w:t xml:space="preserve">AML/CTF </w:t>
      </w:r>
      <w:r>
        <w:t xml:space="preserve">program.  Indeed, </w:t>
      </w:r>
      <w:r w:rsidR="004E7EAF">
        <w:t>the Respondents</w:t>
      </w:r>
      <w:r>
        <w:t xml:space="preserve"> admitted that </w:t>
      </w:r>
      <w:r w:rsidR="004E7EAF">
        <w:t>their</w:t>
      </w:r>
      <w:r>
        <w:t xml:space="preserve"> AML/C</w:t>
      </w:r>
      <w:r w:rsidR="003F57E1">
        <w:t>T</w:t>
      </w:r>
      <w:r>
        <w:t>F function was not sufficiently resourced.  Senior management should have taken steps to inform themselves</w:t>
      </w:r>
      <w:r w:rsidR="00065D41">
        <w:t xml:space="preserve"> of this.  And, it need hardly be said, the deficiencies in the program remained in place for three years.</w:t>
      </w:r>
    </w:p>
    <w:p w:rsidR="00122578" w:rsidRDefault="003F57E1" w:rsidP="00F74A92">
      <w:pPr>
        <w:pStyle w:val="ParaNumbering"/>
      </w:pPr>
      <w:r>
        <w:t>During most of this</w:t>
      </w:r>
      <w:r w:rsidR="00065D41">
        <w:t xml:space="preserve"> period, the maximum penalty was $17 million.  Although it seems most likely that there were probably</w:t>
      </w:r>
      <w:r w:rsidR="00122578">
        <w:t xml:space="preserve"> an almost untold number of contraventions, I propose for the reasons I have already given</w:t>
      </w:r>
      <w:r>
        <w:t>,</w:t>
      </w:r>
      <w:r w:rsidR="00122578">
        <w:t xml:space="preserve"> to treat all of them as resulting from a single course of conduct.  This does not limit the penalty which may be imposed to $17 million but it informs the decision which must be made.</w:t>
      </w:r>
    </w:p>
    <w:p w:rsidR="00065D41" w:rsidRDefault="00122578" w:rsidP="00F74A92">
      <w:pPr>
        <w:pStyle w:val="ParaNumbering"/>
      </w:pPr>
      <w:r>
        <w:t>The parties suggested that a penalty of $15.5 million would be appropriate.  I agree.  Although the breach may appear</w:t>
      </w:r>
      <w:r w:rsidR="00B66A1B">
        <w:t xml:space="preserve"> perhaps</w:t>
      </w:r>
      <w:r>
        <w:t xml:space="preserve"> dry</w:t>
      </w:r>
      <w:r w:rsidR="00B66A1B">
        <w:t xml:space="preserve"> in nature </w:t>
      </w:r>
      <w:r>
        <w:t>it went, in fact, to the heart of the operation of the Act.  It had potential consequences for law enforcement agencies.  It is true that the contravention was not deliberate but, in the present context, that may mean rather less than it ordinarily does.  Section 81 is aimed at</w:t>
      </w:r>
      <w:r w:rsidR="00B66A1B">
        <w:t xml:space="preserve"> precisely </w:t>
      </w:r>
      <w:r>
        <w:t xml:space="preserve">the </w:t>
      </w:r>
      <w:r w:rsidR="00B66A1B">
        <w:t xml:space="preserve">kind of </w:t>
      </w:r>
      <w:r>
        <w:t xml:space="preserve">deficient management practices which are </w:t>
      </w:r>
      <w:r w:rsidR="003F57E1">
        <w:t xml:space="preserve">now </w:t>
      </w:r>
      <w:r>
        <w:t>admitted.</w:t>
      </w:r>
      <w:r w:rsidR="00B66A1B">
        <w:t xml:space="preserve">  What one has here is </w:t>
      </w:r>
      <w:r>
        <w:t xml:space="preserve">a large corporation operating in an </w:t>
      </w:r>
      <w:r>
        <w:lastRenderedPageBreak/>
        <w:t xml:space="preserve">industry with known </w:t>
      </w:r>
      <w:r w:rsidR="00766265">
        <w:t xml:space="preserve">money-laundering risks.  Serious management failures result in a deficient program which leads to actual difficulties.  I assess the seriousness of the contravention as being towards the </w:t>
      </w:r>
      <w:r w:rsidR="00B66A1B">
        <w:t>upper</w:t>
      </w:r>
      <w:r w:rsidR="00766265">
        <w:t xml:space="preserve"> end</w:t>
      </w:r>
      <w:r w:rsidR="00E3214A">
        <w:t xml:space="preserve"> of the scale</w:t>
      </w:r>
      <w:r w:rsidR="00766265">
        <w:t xml:space="preserve">.  However, I accept the submission that it cannot be </w:t>
      </w:r>
      <w:r w:rsidR="003F57E1">
        <w:t xml:space="preserve">an example of </w:t>
      </w:r>
      <w:r w:rsidR="00766265">
        <w:t>the worst kind of case</w:t>
      </w:r>
      <w:r w:rsidR="003F57E1">
        <w:t xml:space="preserve"> for which the maximum penalty might be appropriate</w:t>
      </w:r>
      <w:r w:rsidR="00E12A45">
        <w:t xml:space="preserve"> (although cf. </w:t>
      </w:r>
      <w:r w:rsidR="00E12A45">
        <w:rPr>
          <w:i/>
        </w:rPr>
        <w:t xml:space="preserve">R v Kilic </w:t>
      </w:r>
      <w:r w:rsidR="00E12A45">
        <w:t>[2016] HCA 48; (2016) 259 CLR 256)</w:t>
      </w:r>
      <w:r w:rsidR="00B66A1B">
        <w:t>.  T</w:t>
      </w:r>
      <w:r w:rsidR="00766265">
        <w:t xml:space="preserve">hat would be constituted by a business which had no program at all. </w:t>
      </w:r>
      <w:r w:rsidR="003B0F82">
        <w:t xml:space="preserve"> </w:t>
      </w:r>
      <w:r w:rsidR="003F57E1">
        <w:t>I accept the proposed penalty of $15.5 million as being with</w:t>
      </w:r>
      <w:r w:rsidR="00F93A36">
        <w:t>in</w:t>
      </w:r>
      <w:r w:rsidR="003F57E1">
        <w:t xml:space="preserve"> the appropriate range</w:t>
      </w:r>
      <w:r w:rsidR="00766265">
        <w:t>.</w:t>
      </w:r>
    </w:p>
    <w:p w:rsidR="00766265" w:rsidRDefault="00766265" w:rsidP="00766265">
      <w:pPr>
        <w:pStyle w:val="Heading3"/>
      </w:pPr>
      <w:r>
        <w:t xml:space="preserve">(c)   </w:t>
      </w:r>
      <w:r w:rsidR="003F57E1">
        <w:t>Section</w:t>
      </w:r>
      <w:r>
        <w:t xml:space="preserve"> 41</w:t>
      </w:r>
    </w:p>
    <w:p w:rsidR="00766265" w:rsidRDefault="00766265" w:rsidP="00766265">
      <w:pPr>
        <w:pStyle w:val="ParaNumbering"/>
      </w:pPr>
      <w:r>
        <w:t xml:space="preserve">Section 41 </w:t>
      </w:r>
      <w:r w:rsidR="003B0F82">
        <w:t xml:space="preserve">of the Act </w:t>
      </w:r>
      <w:r>
        <w:t>provides:</w:t>
      </w:r>
    </w:p>
    <w:p w:rsidR="00766265" w:rsidRDefault="00766265" w:rsidP="00766265">
      <w:pPr>
        <w:pStyle w:val="Quote1"/>
      </w:pPr>
      <w:r>
        <w:t>‘</w:t>
      </w:r>
      <w:r w:rsidRPr="00B773CD">
        <w:rPr>
          <w:b/>
        </w:rPr>
        <w:t>41  Reports of suspicious matters</w:t>
      </w:r>
    </w:p>
    <w:p w:rsidR="00766265" w:rsidRPr="00B773CD" w:rsidRDefault="00766265" w:rsidP="00766265">
      <w:pPr>
        <w:pStyle w:val="Quote1"/>
        <w:rPr>
          <w:i/>
        </w:rPr>
      </w:pPr>
      <w:r w:rsidRPr="00B773CD">
        <w:rPr>
          <w:i/>
        </w:rPr>
        <w:t>Suspicious matter reporting obligation</w:t>
      </w:r>
    </w:p>
    <w:p w:rsidR="00766265" w:rsidRDefault="00766265" w:rsidP="00766265">
      <w:pPr>
        <w:pStyle w:val="Quote1"/>
        <w:ind w:left="1440" w:hanging="703"/>
      </w:pPr>
      <w:r>
        <w:t>(1)</w:t>
      </w:r>
      <w:r>
        <w:tab/>
        <w:t xml:space="preserve">A suspicious matter reporting obligation arises for a reporting entity in relation to a person (the </w:t>
      </w:r>
      <w:r w:rsidRPr="00B773CD">
        <w:rPr>
          <w:b/>
        </w:rPr>
        <w:t>first person</w:t>
      </w:r>
      <w:r>
        <w:t xml:space="preserve">) if, at a particular time (the </w:t>
      </w:r>
      <w:r w:rsidRPr="00B773CD">
        <w:rPr>
          <w:b/>
        </w:rPr>
        <w:t>relevant time</w:t>
      </w:r>
      <w:r>
        <w:t>):</w:t>
      </w:r>
    </w:p>
    <w:p w:rsidR="00766265" w:rsidRDefault="00766265" w:rsidP="00766265">
      <w:pPr>
        <w:pStyle w:val="Quote2"/>
        <w:ind w:left="2160" w:hanging="720"/>
      </w:pPr>
      <w:r>
        <w:t>(a)</w:t>
      </w:r>
      <w:r>
        <w:tab/>
        <w:t>the reporting entity commences to provide, or proposes to provide, a designated service to the first person; or</w:t>
      </w:r>
    </w:p>
    <w:p w:rsidR="00766265" w:rsidRDefault="00766265" w:rsidP="00766265">
      <w:pPr>
        <w:pStyle w:val="Quote2"/>
        <w:ind w:left="2160" w:hanging="720"/>
      </w:pPr>
      <w:r>
        <w:t>(b)</w:t>
      </w:r>
      <w:r>
        <w:tab/>
        <w:t>both:</w:t>
      </w:r>
    </w:p>
    <w:p w:rsidR="00766265" w:rsidRDefault="00766265" w:rsidP="00766265">
      <w:pPr>
        <w:pStyle w:val="Quote3"/>
        <w:ind w:left="2880" w:hanging="720"/>
      </w:pPr>
      <w:r>
        <w:t>(i)</w:t>
      </w:r>
      <w:r>
        <w:tab/>
        <w:t>the first person requests the reporting entity to provide a designated service to the first person; and</w:t>
      </w:r>
    </w:p>
    <w:p w:rsidR="00766265" w:rsidRDefault="00766265" w:rsidP="00766265">
      <w:pPr>
        <w:pStyle w:val="Quote3"/>
        <w:ind w:left="2880" w:hanging="720"/>
      </w:pPr>
      <w:r>
        <w:t>(ii)</w:t>
      </w:r>
      <w:r>
        <w:tab/>
        <w:t>the designated service is of a kind ordinarily provided by the reporting entity; or</w:t>
      </w:r>
    </w:p>
    <w:p w:rsidR="00766265" w:rsidRDefault="00766265" w:rsidP="00766265">
      <w:pPr>
        <w:pStyle w:val="Quote2"/>
        <w:ind w:left="2160" w:hanging="720"/>
      </w:pPr>
      <w:r>
        <w:t>(c)</w:t>
      </w:r>
      <w:r>
        <w:tab/>
        <w:t>both:</w:t>
      </w:r>
    </w:p>
    <w:p w:rsidR="00766265" w:rsidRDefault="00766265" w:rsidP="00766265">
      <w:pPr>
        <w:pStyle w:val="Quote3"/>
        <w:ind w:left="2880" w:hanging="720"/>
      </w:pPr>
      <w:r>
        <w:t>(i)</w:t>
      </w:r>
      <w:r>
        <w:tab/>
        <w:t>the first person inquires of the reporting entity whether the reporting entity would be willing or prepared to provide a designated service to the first person; and</w:t>
      </w:r>
    </w:p>
    <w:p w:rsidR="00766265" w:rsidRDefault="00766265" w:rsidP="00766265">
      <w:pPr>
        <w:pStyle w:val="Quote3"/>
        <w:ind w:left="2880" w:hanging="720"/>
      </w:pPr>
      <w:r>
        <w:t>(ii)</w:t>
      </w:r>
      <w:r>
        <w:tab/>
        <w:t>the designated service is of a kind ordinarily provided by the reporting entity;</w:t>
      </w:r>
    </w:p>
    <w:p w:rsidR="00766265" w:rsidRDefault="00766265" w:rsidP="00766265">
      <w:pPr>
        <w:pStyle w:val="Quote3"/>
        <w:ind w:left="2880" w:hanging="720"/>
      </w:pPr>
      <w:r>
        <w:t>and any of the following conditions is satisfied:</w:t>
      </w:r>
    </w:p>
    <w:p w:rsidR="00766265" w:rsidRDefault="00766265" w:rsidP="00766265">
      <w:pPr>
        <w:pStyle w:val="Quote2"/>
        <w:ind w:left="2160" w:hanging="720"/>
      </w:pPr>
      <w:r>
        <w:t>(d)</w:t>
      </w:r>
      <w:r>
        <w:tab/>
        <w:t>at the relevant time or a later time, the reporting entity suspects on reasonable grounds that the first person is not the person the first person claims to be;</w:t>
      </w:r>
    </w:p>
    <w:p w:rsidR="00766265" w:rsidRDefault="00766265" w:rsidP="00766265">
      <w:pPr>
        <w:pStyle w:val="Quote2"/>
        <w:ind w:left="2160" w:hanging="720"/>
      </w:pPr>
      <w:r>
        <w:t>(e)</w:t>
      </w:r>
      <w:r>
        <w:tab/>
        <w:t>at the relevant time or a later time, the reporting entity suspects on reasonable grounds that an agent of the first person who deals with the reporting entity in relation to the provision or prospective provision of the designated service is not the person the agent claims to be;</w:t>
      </w:r>
    </w:p>
    <w:p w:rsidR="00766265" w:rsidRDefault="00766265" w:rsidP="00766265">
      <w:pPr>
        <w:pStyle w:val="Quote2"/>
        <w:ind w:left="2160" w:hanging="720"/>
      </w:pPr>
      <w:r>
        <w:t>(f)</w:t>
      </w:r>
      <w:r>
        <w:tab/>
        <w:t xml:space="preserve">at the relevant time or a later time, the reporting entity suspects on reasonable grounds that information that the reporting entity has </w:t>
      </w:r>
      <w:r>
        <w:lastRenderedPageBreak/>
        <w:t>concerning the provision, or prospective provision, of the service:</w:t>
      </w:r>
    </w:p>
    <w:p w:rsidR="00766265" w:rsidRDefault="00766265" w:rsidP="00766265">
      <w:pPr>
        <w:pStyle w:val="Quote3"/>
        <w:ind w:left="2880" w:hanging="720"/>
      </w:pPr>
      <w:r>
        <w:t>(i)</w:t>
      </w:r>
      <w:r>
        <w:tab/>
        <w:t>may be relevant to investigation of, or prosecution of a person for, an evasion, or an attempted evasion, of a taxation law; or</w:t>
      </w:r>
    </w:p>
    <w:p w:rsidR="00766265" w:rsidRDefault="00766265" w:rsidP="00766265">
      <w:pPr>
        <w:pStyle w:val="Quote3"/>
        <w:ind w:left="2880" w:hanging="720"/>
      </w:pPr>
      <w:r>
        <w:t>(ii)</w:t>
      </w:r>
      <w:r>
        <w:tab/>
        <w:t>may be relevant to investigation of, or prosecution of a person for, an evasion, or an attempted evasion, of a law of a State or Territory that deals with taxation; or</w:t>
      </w:r>
    </w:p>
    <w:p w:rsidR="00766265" w:rsidRDefault="00766265" w:rsidP="00766265">
      <w:pPr>
        <w:pStyle w:val="Quote3"/>
        <w:ind w:left="2880" w:hanging="720"/>
      </w:pPr>
      <w:r>
        <w:t>(iii)</w:t>
      </w:r>
      <w:r>
        <w:tab/>
        <w:t>may be relevant to investigation of, or prosecution of a person for, an offence against a law of the Commonwealth or of a State or Territory; or</w:t>
      </w:r>
    </w:p>
    <w:p w:rsidR="00766265" w:rsidRDefault="00766265" w:rsidP="00766265">
      <w:pPr>
        <w:pStyle w:val="Quote3"/>
        <w:ind w:left="2880" w:hanging="720"/>
      </w:pPr>
      <w:r>
        <w:t>(iv)</w:t>
      </w:r>
      <w:r>
        <w:tab/>
        <w:t>may be of assistance in the enforcement of the Proceeds of Crime Act 2002 or regulations under that Act; or</w:t>
      </w:r>
    </w:p>
    <w:p w:rsidR="00766265" w:rsidRDefault="00766265" w:rsidP="00766265">
      <w:pPr>
        <w:pStyle w:val="Quote3"/>
        <w:ind w:left="2880" w:hanging="720"/>
      </w:pPr>
      <w:r>
        <w:t>(v)</w:t>
      </w:r>
      <w:r>
        <w:tab/>
        <w:t xml:space="preserve">may be of assistance in the enforcement of a law of a State or Territory that corresponds to the </w:t>
      </w:r>
      <w:r w:rsidRPr="00B773CD">
        <w:rPr>
          <w:i/>
        </w:rPr>
        <w:t>Proceeds of Crime Act 2002</w:t>
      </w:r>
      <w:r>
        <w:t xml:space="preserve"> or regulations under that Act;</w:t>
      </w:r>
    </w:p>
    <w:p w:rsidR="00766265" w:rsidRDefault="00766265" w:rsidP="00766265">
      <w:pPr>
        <w:pStyle w:val="Quote2"/>
        <w:ind w:left="2160" w:hanging="720"/>
      </w:pPr>
      <w:r>
        <w:t>(g)</w:t>
      </w:r>
      <w:r>
        <w:tab/>
        <w:t xml:space="preserve">at the relevant time or a later time, the reporting entity suspects on reasonable grounds that the provision, or prospective provision, of the service is preparatory to the commission of an offence covered by paragraph (a), (b) or (c) of the definition of </w:t>
      </w:r>
      <w:r w:rsidRPr="00B773CD">
        <w:rPr>
          <w:b/>
          <w:i/>
        </w:rPr>
        <w:t>financing of terrorism</w:t>
      </w:r>
      <w:r>
        <w:t xml:space="preserve"> in section 5;</w:t>
      </w:r>
    </w:p>
    <w:p w:rsidR="00766265" w:rsidRDefault="00766265" w:rsidP="00766265">
      <w:pPr>
        <w:pStyle w:val="Quote2"/>
        <w:ind w:left="2160" w:hanging="720"/>
      </w:pPr>
      <w:r>
        <w:t>(h)</w:t>
      </w:r>
      <w:r>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paragraph (a), (b) or (c) of the definition of </w:t>
      </w:r>
      <w:r w:rsidRPr="00B773CD">
        <w:rPr>
          <w:b/>
          <w:i/>
        </w:rPr>
        <w:t>financing of terrorism</w:t>
      </w:r>
      <w:r>
        <w:t xml:space="preserve"> in section 5;</w:t>
      </w:r>
    </w:p>
    <w:p w:rsidR="00766265" w:rsidRDefault="00766265" w:rsidP="00766265">
      <w:pPr>
        <w:pStyle w:val="Quote2"/>
        <w:ind w:left="2160" w:hanging="720"/>
      </w:pPr>
      <w:r>
        <w:t>(i)</w:t>
      </w:r>
      <w:r>
        <w:tab/>
        <w:t xml:space="preserve">at the relevant time or a later time, the reporting entity suspects on reasonable grounds that the provision, or prospective provision, of the service is preparatory to the commission of an offence covered by paragraph (a) or (b) of the definition of </w:t>
      </w:r>
      <w:r w:rsidRPr="00B773CD">
        <w:rPr>
          <w:b/>
          <w:i/>
        </w:rPr>
        <w:t>money laundering</w:t>
      </w:r>
      <w:r>
        <w:t xml:space="preserve"> in section 5;</w:t>
      </w:r>
    </w:p>
    <w:p w:rsidR="00766265" w:rsidRDefault="00766265" w:rsidP="00766265">
      <w:pPr>
        <w:pStyle w:val="Quote2"/>
        <w:ind w:left="2160" w:hanging="720"/>
      </w:pPr>
      <w:r>
        <w:t>(j)</w:t>
      </w:r>
      <w:r>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paragraph (a) or (b) of the definition of </w:t>
      </w:r>
      <w:r w:rsidRPr="00B773CD">
        <w:rPr>
          <w:b/>
          <w:i/>
        </w:rPr>
        <w:t>money laundering</w:t>
      </w:r>
      <w:r>
        <w:t xml:space="preserve"> in section 5.</w:t>
      </w:r>
    </w:p>
    <w:p w:rsidR="00766265" w:rsidRPr="00B773CD" w:rsidRDefault="00766265" w:rsidP="00766265">
      <w:pPr>
        <w:pStyle w:val="Quote1"/>
        <w:rPr>
          <w:i/>
        </w:rPr>
      </w:pPr>
      <w:r w:rsidRPr="00B773CD">
        <w:rPr>
          <w:i/>
        </w:rPr>
        <w:t>Report</w:t>
      </w:r>
    </w:p>
    <w:p w:rsidR="00766265" w:rsidRDefault="00766265" w:rsidP="00766265">
      <w:pPr>
        <w:pStyle w:val="Quote1"/>
        <w:ind w:left="1440" w:hanging="703"/>
      </w:pPr>
      <w:r>
        <w:t>(2)</w:t>
      </w:r>
      <w:r>
        <w:tab/>
        <w:t>If a suspicious matter reporting obligation arises for a reporting entity in relation to a person, the reporting entity must give the AUSTRAC CEO a report about the matter within:</w:t>
      </w:r>
    </w:p>
    <w:p w:rsidR="00766265" w:rsidRDefault="00766265" w:rsidP="00766265">
      <w:pPr>
        <w:pStyle w:val="Quote2"/>
        <w:ind w:left="2160" w:hanging="720"/>
      </w:pPr>
      <w:r>
        <w:t>(a)</w:t>
      </w:r>
      <w:r>
        <w:tab/>
        <w:t>if paragraph (1)(d), (e), (f), (i) or (j) applies—3 business days after the day on which the reporting entity forms the relevant suspicion; or</w:t>
      </w:r>
    </w:p>
    <w:p w:rsidR="00766265" w:rsidRDefault="00766265" w:rsidP="00766265">
      <w:pPr>
        <w:pStyle w:val="Quote2"/>
        <w:ind w:left="2160" w:hanging="720"/>
      </w:pPr>
      <w:r>
        <w:t>(b)</w:t>
      </w:r>
      <w:r>
        <w:tab/>
        <w:t>if paragraph (1)(g) or (h) applies—24 hours after the time when the reporting entity forms the relevant suspicion.</w:t>
      </w:r>
    </w:p>
    <w:p w:rsidR="00766265" w:rsidRDefault="00766265" w:rsidP="00766265">
      <w:pPr>
        <w:pStyle w:val="Quote1"/>
      </w:pPr>
      <w:r>
        <w:lastRenderedPageBreak/>
        <w:t>(3)</w:t>
      </w:r>
      <w:r>
        <w:tab/>
        <w:t>A report under subsection (2) must:</w:t>
      </w:r>
    </w:p>
    <w:p w:rsidR="00766265" w:rsidRDefault="00766265" w:rsidP="00766265">
      <w:pPr>
        <w:pStyle w:val="Quote2"/>
        <w:ind w:left="2160" w:hanging="720"/>
      </w:pPr>
      <w:r>
        <w:t>(a)</w:t>
      </w:r>
      <w:r>
        <w:tab/>
        <w:t>be in the approved form; and</w:t>
      </w:r>
    </w:p>
    <w:p w:rsidR="00766265" w:rsidRDefault="00766265" w:rsidP="00766265">
      <w:pPr>
        <w:pStyle w:val="Quote2"/>
        <w:ind w:left="2160" w:hanging="720"/>
      </w:pPr>
      <w:r>
        <w:t>(b)</w:t>
      </w:r>
      <w:r>
        <w:tab/>
        <w:t>contain such information relating to the matter as is specified in the AML/CTF Rules; and</w:t>
      </w:r>
    </w:p>
    <w:p w:rsidR="00766265" w:rsidRDefault="00766265" w:rsidP="00766265">
      <w:pPr>
        <w:pStyle w:val="Quote2"/>
        <w:ind w:left="2160" w:hanging="720"/>
      </w:pPr>
      <w:r>
        <w:t>(c)</w:t>
      </w:r>
      <w:r>
        <w:tab/>
        <w:t>contain a statement of the grounds on which the reporting entity holds the relevant suspicion.</w:t>
      </w:r>
    </w:p>
    <w:p w:rsidR="00766265" w:rsidRPr="00B773CD" w:rsidRDefault="00766265" w:rsidP="00766265">
      <w:pPr>
        <w:pStyle w:val="Quote1"/>
        <w:rPr>
          <w:sz w:val="20"/>
        </w:rPr>
      </w:pPr>
      <w:r w:rsidRPr="00B773CD">
        <w:rPr>
          <w:sz w:val="20"/>
        </w:rPr>
        <w:t>Note 1: For additional rules about reports, see section 244.</w:t>
      </w:r>
    </w:p>
    <w:p w:rsidR="00766265" w:rsidRPr="00B773CD" w:rsidRDefault="00766265" w:rsidP="00766265">
      <w:pPr>
        <w:pStyle w:val="Quote1"/>
        <w:rPr>
          <w:sz w:val="20"/>
        </w:rPr>
      </w:pPr>
      <w:r w:rsidRPr="00B773CD">
        <w:rPr>
          <w:sz w:val="20"/>
        </w:rPr>
        <w:t>Note 2: Section 49 deals with the provision of further information, and the production of documents, by the reporting entity.</w:t>
      </w:r>
    </w:p>
    <w:p w:rsidR="00766265" w:rsidRPr="00B773CD" w:rsidRDefault="00766265" w:rsidP="00766265">
      <w:pPr>
        <w:pStyle w:val="Quote1"/>
        <w:rPr>
          <w:i/>
        </w:rPr>
      </w:pPr>
      <w:r w:rsidRPr="00B773CD">
        <w:rPr>
          <w:i/>
        </w:rPr>
        <w:t>Civil penalty</w:t>
      </w:r>
    </w:p>
    <w:p w:rsidR="00766265" w:rsidRDefault="00766265" w:rsidP="00766265">
      <w:pPr>
        <w:pStyle w:val="Quote1"/>
      </w:pPr>
      <w:r>
        <w:t>(4)</w:t>
      </w:r>
      <w:r>
        <w:tab/>
        <w:t>Subsection (2) is a civil penalty provision.</w:t>
      </w:r>
    </w:p>
    <w:p w:rsidR="00766265" w:rsidRPr="00B773CD" w:rsidRDefault="00766265" w:rsidP="00766265">
      <w:pPr>
        <w:pStyle w:val="Quote1"/>
        <w:rPr>
          <w:i/>
        </w:rPr>
      </w:pPr>
      <w:r w:rsidRPr="00B773CD">
        <w:rPr>
          <w:i/>
        </w:rPr>
        <w:t>Reasonable grounds for suspicion</w:t>
      </w:r>
    </w:p>
    <w:p w:rsidR="00766265" w:rsidRDefault="00766265" w:rsidP="00766265">
      <w:pPr>
        <w:pStyle w:val="Quote1"/>
        <w:ind w:left="1440" w:hanging="703"/>
      </w:pPr>
      <w:r>
        <w:t>(5)</w:t>
      </w:r>
      <w:r>
        <w:tab/>
        <w:t>The AML/CTF Rules may specify matters that are to be taken into account in determining whether there are reasonable grounds for a reporting entity to form a suspicion of a kind mentioned in paragraph (1)(d), (e), (f), (g), (h), (i) or (j).</w:t>
      </w:r>
    </w:p>
    <w:p w:rsidR="00766265" w:rsidRDefault="00766265" w:rsidP="00603FD9">
      <w:pPr>
        <w:pStyle w:val="Quote1"/>
        <w:spacing w:after="120"/>
      </w:pPr>
      <w:r w:rsidRPr="00B773CD">
        <w:rPr>
          <w:sz w:val="20"/>
        </w:rPr>
        <w:t xml:space="preserve">Note: For specification by class, see subsection 13(3) of the </w:t>
      </w:r>
      <w:r w:rsidRPr="00B773CD">
        <w:rPr>
          <w:i/>
          <w:sz w:val="20"/>
        </w:rPr>
        <w:t>Legislation Act 2003</w:t>
      </w:r>
      <w:r w:rsidRPr="00B773CD">
        <w:rPr>
          <w:sz w:val="20"/>
        </w:rPr>
        <w:t>.</w:t>
      </w:r>
      <w:r>
        <w:t>’</w:t>
      </w:r>
    </w:p>
    <w:p w:rsidR="00766265" w:rsidRPr="00766265" w:rsidRDefault="00766265" w:rsidP="00766265">
      <w:pPr>
        <w:pStyle w:val="Quote1"/>
      </w:pPr>
    </w:p>
    <w:p w:rsidR="00766265" w:rsidRDefault="00766265" w:rsidP="00F74A92">
      <w:pPr>
        <w:pStyle w:val="ParaNumbering"/>
      </w:pPr>
      <w:r>
        <w:t xml:space="preserve">There were </w:t>
      </w:r>
      <w:r w:rsidR="00F93A36">
        <w:t>three main</w:t>
      </w:r>
      <w:r>
        <w:t xml:space="preserve"> sets of contraventions involv</w:t>
      </w:r>
      <w:r w:rsidR="00603FD9">
        <w:t>ing this section</w:t>
      </w:r>
      <w:r>
        <w:t>.  These were:</w:t>
      </w:r>
    </w:p>
    <w:p w:rsidR="00766265" w:rsidRDefault="00766265" w:rsidP="00766265">
      <w:pPr>
        <w:pStyle w:val="ListNo1"/>
        <w:numPr>
          <w:ilvl w:val="0"/>
          <w:numId w:val="28"/>
        </w:numPr>
      </w:pPr>
      <w:r>
        <w:t>a failure to report to AUSTRAC</w:t>
      </w:r>
      <w:r w:rsidR="00603FD9">
        <w:t>,</w:t>
      </w:r>
      <w:r>
        <w:t xml:space="preserve"> </w:t>
      </w:r>
      <w:r w:rsidR="003F57E1">
        <w:t>T</w:t>
      </w:r>
      <w:r w:rsidR="004E7EAF">
        <w:t>AB</w:t>
      </w:r>
      <w:r w:rsidR="003F57E1">
        <w:t>’s</w:t>
      </w:r>
      <w:r>
        <w:t xml:space="preserve"> suspicion of match-fixing in relation to the NRL match on 21 August 2010 between the North Queensland Cowboys and the Canterbury</w:t>
      </w:r>
      <w:r w:rsidR="001D6257">
        <w:t>-</w:t>
      </w:r>
      <w:r>
        <w:t>Bankstown Bulldogs;</w:t>
      </w:r>
    </w:p>
    <w:p w:rsidR="00766265" w:rsidRDefault="00300968" w:rsidP="00766265">
      <w:pPr>
        <w:pStyle w:val="ListNo1"/>
        <w:numPr>
          <w:ilvl w:val="0"/>
          <w:numId w:val="28"/>
        </w:numPr>
      </w:pPr>
      <w:r>
        <w:t>a failure to report to AUSTRAC 5</w:t>
      </w:r>
      <w:r w:rsidR="00B66A1B">
        <w:t>2</w:t>
      </w:r>
      <w:r>
        <w:t xml:space="preserve"> instances of credit betting;</w:t>
      </w:r>
      <w:r w:rsidR="00B66A1B">
        <w:t xml:space="preserve"> and</w:t>
      </w:r>
    </w:p>
    <w:p w:rsidR="00300968" w:rsidRDefault="00300968" w:rsidP="00766265">
      <w:pPr>
        <w:pStyle w:val="ListNo1"/>
        <w:numPr>
          <w:ilvl w:val="0"/>
          <w:numId w:val="28"/>
        </w:numPr>
      </w:pPr>
      <w:r>
        <w:t>a failure to report to AUSTRA</w:t>
      </w:r>
      <w:r w:rsidR="00B66A1B">
        <w:t>C</w:t>
      </w:r>
      <w:r>
        <w:t xml:space="preserve"> 51 suspected examples of credit card </w:t>
      </w:r>
      <w:r w:rsidR="0032524C">
        <w:t>fraud</w:t>
      </w:r>
      <w:r w:rsidR="00486C90">
        <w:t>.</w:t>
      </w:r>
    </w:p>
    <w:p w:rsidR="00486C90" w:rsidRDefault="002D0307" w:rsidP="00486C90">
      <w:pPr>
        <w:pStyle w:val="ParaNumbering"/>
      </w:pPr>
      <w:r>
        <w:t xml:space="preserve">It is </w:t>
      </w:r>
      <w:r w:rsidR="00486C90">
        <w:t>useful to deal with these in turn.</w:t>
      </w:r>
    </w:p>
    <w:p w:rsidR="00486C90" w:rsidRDefault="003F57E1" w:rsidP="00486C90">
      <w:pPr>
        <w:pStyle w:val="ParaNumbering"/>
      </w:pPr>
      <w:r w:rsidRPr="003F57E1">
        <w:rPr>
          <w:b/>
          <w:i/>
        </w:rPr>
        <w:t>As to the match</w:t>
      </w:r>
      <w:r w:rsidR="00603FD9">
        <w:rPr>
          <w:b/>
          <w:i/>
        </w:rPr>
        <w:t>-</w:t>
      </w:r>
      <w:r w:rsidRPr="003F57E1">
        <w:rPr>
          <w:b/>
          <w:i/>
        </w:rPr>
        <w:t>fixing</w:t>
      </w:r>
      <w:r>
        <w:t xml:space="preserve">: </w:t>
      </w:r>
      <w:r w:rsidR="002D0307">
        <w:t>T</w:t>
      </w:r>
      <w:r w:rsidR="004E7EAF">
        <w:t>AB</w:t>
      </w:r>
      <w:r w:rsidR="002D0307">
        <w:t xml:space="preserve"> had itself identified the incident through its own procedures and reported it to the NRL</w:t>
      </w:r>
      <w:r>
        <w:t>.  It</w:t>
      </w:r>
      <w:r w:rsidR="002D0307">
        <w:t xml:space="preserve"> thereafter co-operated with an investigation by the NSW Police.  It accepted that the contravention was nevertheless a serious one.  The maximum penalty is $11 million.  The parties submitted that there were several extenuating circumstances.  It was not deliberate and the contravention was admitted promptly.  The incident was detected and reported to authorities just not </w:t>
      </w:r>
      <w:r>
        <w:t xml:space="preserve">to </w:t>
      </w:r>
      <w:r w:rsidR="002D0307">
        <w:t xml:space="preserve">the correct </w:t>
      </w:r>
      <w:r>
        <w:t>authorities</w:t>
      </w:r>
      <w:r w:rsidR="002D0307">
        <w:t>.  T</w:t>
      </w:r>
      <w:r w:rsidR="004E7EAF">
        <w:t>AB</w:t>
      </w:r>
      <w:r w:rsidR="002D0307">
        <w:t xml:space="preserve"> assisted in the subsequent p</w:t>
      </w:r>
      <w:r>
        <w:t>ro</w:t>
      </w:r>
      <w:r w:rsidR="002D0307">
        <w:t>secution of those involved in the incident.  Additionally</w:t>
      </w:r>
      <w:r w:rsidR="00603FD9">
        <w:t>,</w:t>
      </w:r>
      <w:r w:rsidR="002D0307">
        <w:t xml:space="preserve"> T</w:t>
      </w:r>
      <w:r w:rsidR="004E7EAF">
        <w:t>AB</w:t>
      </w:r>
      <w:r w:rsidR="002D0307">
        <w:t xml:space="preserve"> has done considerable work since the incident to enhance its procedures</w:t>
      </w:r>
      <w:r>
        <w:t xml:space="preserve"> (as outlined above</w:t>
      </w:r>
      <w:r w:rsidR="00BF0348">
        <w:t xml:space="preserve"> at [11(h)]</w:t>
      </w:r>
      <w:r>
        <w:t>)</w:t>
      </w:r>
      <w:r w:rsidR="002D0307">
        <w:t xml:space="preserve">.  The parties </w:t>
      </w:r>
      <w:r w:rsidR="002D0307">
        <w:lastRenderedPageBreak/>
        <w:t xml:space="preserve">submitted that I should impose a civil penalty of $1 million.  I </w:t>
      </w:r>
      <w:r>
        <w:t xml:space="preserve">accept </w:t>
      </w:r>
      <w:r w:rsidR="00F93A36">
        <w:t>t</w:t>
      </w:r>
      <w:r>
        <w:t>his as within the permissible range</w:t>
      </w:r>
      <w:r w:rsidR="002D0307">
        <w:t xml:space="preserve">. </w:t>
      </w:r>
    </w:p>
    <w:p w:rsidR="004F471B" w:rsidRDefault="003F57E1" w:rsidP="00486C90">
      <w:pPr>
        <w:pStyle w:val="ParaNumbering"/>
      </w:pPr>
      <w:r w:rsidRPr="003F57E1">
        <w:rPr>
          <w:b/>
          <w:i/>
        </w:rPr>
        <w:t>As to the credit betting contraventions</w:t>
      </w:r>
      <w:r w:rsidRPr="004F471B">
        <w:t>:</w:t>
      </w:r>
      <w:r>
        <w:t xml:space="preserve"> </w:t>
      </w:r>
      <w:r w:rsidR="004F471B">
        <w:t>It is an offence for a wagering operation to provide wagering services on credit.  In some circumstances, it is</w:t>
      </w:r>
      <w:r>
        <w:t xml:space="preserve"> also</w:t>
      </w:r>
      <w:r w:rsidR="008F738D">
        <w:t xml:space="preserve"> an offence for a punter to place a wager on credit.  In the period 2010 to 2012</w:t>
      </w:r>
      <w:r w:rsidR="00565142">
        <w:t>,</w:t>
      </w:r>
      <w:r w:rsidR="008F738D">
        <w:t xml:space="preserve"> there was a misperception within TAB and TAH that </w:t>
      </w:r>
      <w:r>
        <w:t>they</w:t>
      </w:r>
      <w:r w:rsidR="008F738D">
        <w:t xml:space="preserve"> only needed to report instances of credit betting to the relevant gambling regulato</w:t>
      </w:r>
      <w:r>
        <w:t>r</w:t>
      </w:r>
      <w:r w:rsidR="008F738D">
        <w:t xml:space="preserve"> and the State Police.  </w:t>
      </w:r>
      <w:r>
        <w:t xml:space="preserve">It was not understood to be necessary </w:t>
      </w:r>
      <w:r w:rsidR="00F93A36">
        <w:t xml:space="preserve">also </w:t>
      </w:r>
      <w:r>
        <w:t xml:space="preserve">to report these to AUSTRAC.  </w:t>
      </w:r>
      <w:r w:rsidR="008F738D">
        <w:t>During th</w:t>
      </w:r>
      <w:r w:rsidR="008E3148">
        <w:t xml:space="preserve">e relevant </w:t>
      </w:r>
      <w:r w:rsidR="008F738D">
        <w:t>period</w:t>
      </w:r>
      <w:r w:rsidR="008E3148">
        <w:t>,</w:t>
      </w:r>
      <w:r w:rsidR="008F738D">
        <w:t xml:space="preserve"> there were 5</w:t>
      </w:r>
      <w:r w:rsidR="008102DC">
        <w:t>2</w:t>
      </w:r>
      <w:r w:rsidR="008F738D">
        <w:t xml:space="preserve"> SMRs which were re</w:t>
      </w:r>
      <w:r w:rsidR="008E3148">
        <w:t>ferr</w:t>
      </w:r>
      <w:r w:rsidR="008F738D">
        <w:t>ed to the State regulators but, due to th</w:t>
      </w:r>
      <w:r w:rsidR="00F93A36">
        <w:t>is</w:t>
      </w:r>
      <w:r w:rsidR="008F738D">
        <w:t xml:space="preserve"> misunderstanding</w:t>
      </w:r>
      <w:r w:rsidR="00F93A36">
        <w:t>,</w:t>
      </w:r>
      <w:r w:rsidR="008F738D">
        <w:t xml:space="preserve"> were not referred to AUSTRAC.  The misunderstanding was rectified in September 2012 when it was pointed out by AUSTRAC.</w:t>
      </w:r>
    </w:p>
    <w:p w:rsidR="00D0536B" w:rsidRDefault="008F738D" w:rsidP="00D0536B">
      <w:pPr>
        <w:pStyle w:val="ParaNumbering"/>
      </w:pPr>
      <w:r>
        <w:t xml:space="preserve">The maximum penalty at the relevant time </w:t>
      </w:r>
      <w:r w:rsidR="00F62CD7">
        <w:t>for all but one of the contravention</w:t>
      </w:r>
      <w:r w:rsidR="00054B60">
        <w:t>s</w:t>
      </w:r>
      <w:r w:rsidR="00F62CD7">
        <w:t xml:space="preserve"> </w:t>
      </w:r>
      <w:r>
        <w:t>was $1</w:t>
      </w:r>
      <w:r w:rsidR="008E3148">
        <w:t>1</w:t>
      </w:r>
      <w:r>
        <w:t xml:space="preserve"> million</w:t>
      </w:r>
      <w:r w:rsidR="00C612E3">
        <w:t xml:space="preserve"> (one instance occurred when the maximum was $17 million</w:t>
      </w:r>
      <w:r w:rsidR="00B804B4">
        <w:t>)</w:t>
      </w:r>
      <w:r>
        <w:t>. The maximum penalty is therefore $</w:t>
      </w:r>
      <w:r w:rsidR="008E3148">
        <w:t>5</w:t>
      </w:r>
      <w:r w:rsidR="00C612E3">
        <w:t>78</w:t>
      </w:r>
      <w:r w:rsidR="008E3148">
        <w:t xml:space="preserve"> million</w:t>
      </w:r>
      <w:r>
        <w:t xml:space="preserve">.  The parties submitted, however, that the Court should treat </w:t>
      </w:r>
      <w:r w:rsidR="008E3148">
        <w:t>the conduct</w:t>
      </w:r>
      <w:r>
        <w:t xml:space="preserve"> as a single course of conduct.  I accept that submission.  This is an example of a single factual failure generating multiple contraventions.  Because the same factual matter underpins all 5</w:t>
      </w:r>
      <w:r w:rsidR="00A04C41">
        <w:t>2</w:t>
      </w:r>
      <w:r>
        <w:t xml:space="preserve"> contraventions it is appropriate that it be dealt with as a single instance of conduct.</w:t>
      </w:r>
    </w:p>
    <w:p w:rsidR="00C4091A" w:rsidRDefault="00B14E70" w:rsidP="00486C90">
      <w:pPr>
        <w:pStyle w:val="ParaNumbering"/>
      </w:pPr>
      <w:r>
        <w:t xml:space="preserve">The misunderstanding which occurred was a serious one.  But there is no suggestion that there was any attempt to deceive and indeed the contrary is clear.  No particular harm seems to have flowed from it. Taking into account the matters in </w:t>
      </w:r>
      <w:r w:rsidR="008E3148">
        <w:t>the Respondent’s</w:t>
      </w:r>
      <w:r>
        <w:t xml:space="preserve"> favour set out above, I agree with the parties that a civil penalty of $10 million is appropriate.</w:t>
      </w:r>
    </w:p>
    <w:p w:rsidR="00B14E70" w:rsidRDefault="008E3148" w:rsidP="00B14E70">
      <w:pPr>
        <w:pStyle w:val="ParaNumbering"/>
      </w:pPr>
      <w:r w:rsidRPr="008E3148">
        <w:rPr>
          <w:b/>
          <w:i/>
        </w:rPr>
        <w:t>As to fraud reporting contraventions:</w:t>
      </w:r>
      <w:r>
        <w:t xml:space="preserve">  </w:t>
      </w:r>
      <w:r w:rsidR="00B14E70">
        <w:t>The effect of s 41(2)(</w:t>
      </w:r>
      <w:r>
        <w:t>a</w:t>
      </w:r>
      <w:r w:rsidR="00B14E70">
        <w:t>) is to require TAB (and in one case Tabcorp Vic) to submit an SMR to AUSTRAC within three days</w:t>
      </w:r>
      <w:r>
        <w:t xml:space="preserve"> of being suspicious of a transaction</w:t>
      </w:r>
      <w:r w:rsidR="00B14E70">
        <w:t>.  It is agreed that on 51 occasions involving TAB this did not occur</w:t>
      </w:r>
      <w:r>
        <w:t xml:space="preserve">.  It is also accepted that it did not occur </w:t>
      </w:r>
      <w:r w:rsidR="00B14E70">
        <w:t xml:space="preserve">on one occasion involving Tabcorp Vic.  In each case the suspicious activity centred on credit </w:t>
      </w:r>
      <w:r>
        <w:t>c</w:t>
      </w:r>
      <w:r w:rsidR="00B14E70">
        <w:t>a</w:t>
      </w:r>
      <w:r>
        <w:t>r</w:t>
      </w:r>
      <w:r w:rsidR="00B14E70">
        <w:t>d fraud.  The failures to provide the SMRs occurred in the period</w:t>
      </w:r>
      <w:r w:rsidR="00E3164C">
        <w:t xml:space="preserve"> between</w:t>
      </w:r>
      <w:r w:rsidR="00B14E70">
        <w:t xml:space="preserve"> June 2012 and August 2014 when the maximum penalty was $1</w:t>
      </w:r>
      <w:r w:rsidR="00E3164C">
        <w:t>1 million until 27 December 2012 and $1</w:t>
      </w:r>
      <w:r w:rsidR="00B14E70">
        <w:t>7 million</w:t>
      </w:r>
      <w:r w:rsidR="00E3164C">
        <w:t xml:space="preserve"> afterwards</w:t>
      </w:r>
      <w:r w:rsidR="00B14E70">
        <w:t>.</w:t>
      </w:r>
    </w:p>
    <w:p w:rsidR="00B14E70" w:rsidRDefault="00B14E70" w:rsidP="00B14E70">
      <w:pPr>
        <w:pStyle w:val="ParaNumbering"/>
      </w:pPr>
      <w:r>
        <w:t xml:space="preserve">So far as the TAB contraventions are concerned, it was submitted that they fell into three tranches.  In the first tranche were 24 contraventions which related to a single investigation.  TAB passed the results of </w:t>
      </w:r>
      <w:r w:rsidR="008E3148">
        <w:t xml:space="preserve">this </w:t>
      </w:r>
      <w:r>
        <w:t xml:space="preserve">investigation on to the NSW Police but did not file </w:t>
      </w:r>
      <w:r w:rsidR="00F93A36">
        <w:t>a</w:t>
      </w:r>
      <w:r>
        <w:t xml:space="preserve">n SMR </w:t>
      </w:r>
      <w:r>
        <w:lastRenderedPageBreak/>
        <w:t>with AUSTRAC.  It appears that this occurred because there were insufficient processes and controls in place to ensure that SMRs were reliably issued.  Those systems have since been improved.</w:t>
      </w:r>
    </w:p>
    <w:p w:rsidR="00B14E70" w:rsidRDefault="00B14E70" w:rsidP="00B14E70">
      <w:pPr>
        <w:pStyle w:val="ParaNumbering"/>
      </w:pPr>
      <w:r>
        <w:t xml:space="preserve">Given the subject matter this was a serious set of breaches.  On the other hand, it is true that the transactions </w:t>
      </w:r>
      <w:r w:rsidR="008E3148">
        <w:t xml:space="preserve">were </w:t>
      </w:r>
      <w:r>
        <w:t xml:space="preserve">reported to the NSW </w:t>
      </w:r>
      <w:r w:rsidR="00F93A36">
        <w:t>P</w:t>
      </w:r>
      <w:r>
        <w:t xml:space="preserve">olice and that all of the accounts </w:t>
      </w:r>
      <w:r w:rsidR="008E3148">
        <w:t xml:space="preserve">involved </w:t>
      </w:r>
      <w:r>
        <w:t>were frozen</w:t>
      </w:r>
      <w:r w:rsidR="00B0298A">
        <w:t xml:space="preserve"> in all instances barring one</w:t>
      </w:r>
      <w:r>
        <w:t>.</w:t>
      </w:r>
    </w:p>
    <w:p w:rsidR="00B14E70" w:rsidRDefault="00B14E70" w:rsidP="00B14E70">
      <w:pPr>
        <w:pStyle w:val="ParaNumbering"/>
      </w:pPr>
      <w:r>
        <w:t>A further 25 accounts also related to a</w:t>
      </w:r>
      <w:r w:rsidR="00736BA4">
        <w:t>nother</w:t>
      </w:r>
      <w:r>
        <w:t xml:space="preserve"> single investigation.  Broadly, the circumstances of these accounts w</w:t>
      </w:r>
      <w:r w:rsidR="00E00045">
        <w:t>ere</w:t>
      </w:r>
      <w:r>
        <w:t xml:space="preserve"> largely the same as the first</w:t>
      </w:r>
      <w:r w:rsidR="00EF184B">
        <w:t>,</w:t>
      </w:r>
      <w:r>
        <w:t xml:space="preserve"> however</w:t>
      </w:r>
      <w:r w:rsidR="00EF184B">
        <w:t>,</w:t>
      </w:r>
      <w:r>
        <w:t xml:space="preserve"> in the case of this tranche, SMRs were actually issued albeit late.</w:t>
      </w:r>
    </w:p>
    <w:p w:rsidR="00B14E70" w:rsidRDefault="00B14E70" w:rsidP="00B14E70">
      <w:pPr>
        <w:pStyle w:val="ParaNumbering"/>
      </w:pPr>
      <w:r>
        <w:t>The third tranche related to only two accounts.  TAB’s account sales team had frozen both of these but omitted to inform the AML team of this fact in a timely manner.  An SMR was issued in</w:t>
      </w:r>
      <w:r w:rsidR="00D0536B">
        <w:t xml:space="preserve"> respect of one account (but late)</w:t>
      </w:r>
      <w:r w:rsidR="00B96D11">
        <w:t xml:space="preserve"> and not in respect of the other.</w:t>
      </w:r>
    </w:p>
    <w:p w:rsidR="00B96D11" w:rsidRDefault="00B96D11" w:rsidP="00B14E70">
      <w:pPr>
        <w:pStyle w:val="ParaNumbering"/>
      </w:pPr>
      <w:r>
        <w:t>In addition to these three tranches there was one instance in relation to Tabcorp Vic where an SMR was issued late in relation to a case of suspected credit card fraud.</w:t>
      </w:r>
    </w:p>
    <w:p w:rsidR="00B96D11" w:rsidRDefault="00B96D11" w:rsidP="00B14E70">
      <w:pPr>
        <w:pStyle w:val="ParaNumbering"/>
      </w:pPr>
      <w:r>
        <w:t xml:space="preserve">The parties submitted that the course of conduct principle should be applied to </w:t>
      </w:r>
      <w:r w:rsidR="00555ACE">
        <w:t xml:space="preserve">each of </w:t>
      </w:r>
      <w:r>
        <w:t xml:space="preserve">these four </w:t>
      </w:r>
      <w:r w:rsidR="00555ACE">
        <w:t>tranches</w:t>
      </w:r>
      <w:r>
        <w:t xml:space="preserve">.  </w:t>
      </w:r>
      <w:r w:rsidR="00555ACE">
        <w:t>Each tranche a</w:t>
      </w:r>
      <w:r>
        <w:t>ppears to</w:t>
      </w:r>
      <w:r w:rsidR="00555ACE">
        <w:t xml:space="preserve"> be a course of conduct arising from essentially the same wrongdoing and appropriately dealt with on that basis.  But each tranche is also quite separate from the others.  </w:t>
      </w:r>
      <w:r>
        <w:t xml:space="preserve">On that view this would suggest, but not require, the imposition of a maximum penalty of </w:t>
      </w:r>
      <w:r w:rsidR="006352E9">
        <w:t xml:space="preserve">approximately </w:t>
      </w:r>
      <w:r>
        <w:t xml:space="preserve">$68 million.  That </w:t>
      </w:r>
      <w:r w:rsidR="00F93A36">
        <w:t>w</w:t>
      </w:r>
      <w:r>
        <w:t>ould be significantly excessive.  The</w:t>
      </w:r>
      <w:r w:rsidR="008E3148">
        <w:t>s</w:t>
      </w:r>
      <w:r>
        <w:t>e are serious contraventions but do not warrant a civil penalty of that magnitude.  The parties suggested a penalty of $15 million for all of these contraventions together.  I accept that figure is</w:t>
      </w:r>
      <w:r w:rsidR="00F93A36">
        <w:t xml:space="preserve"> with</w:t>
      </w:r>
      <w:r>
        <w:t>in the permissible range.</w:t>
      </w:r>
    </w:p>
    <w:p w:rsidR="00B96D11" w:rsidRDefault="008E3148" w:rsidP="00B96D11">
      <w:pPr>
        <w:pStyle w:val="Heading3"/>
        <w:numPr>
          <w:ilvl w:val="0"/>
          <w:numId w:val="28"/>
        </w:numPr>
      </w:pPr>
      <w:r>
        <w:t xml:space="preserve">Section </w:t>
      </w:r>
      <w:r w:rsidR="00B96D11">
        <w:t xml:space="preserve">32 </w:t>
      </w:r>
    </w:p>
    <w:p w:rsidR="00B96D11" w:rsidRDefault="00B92F1B" w:rsidP="00B96D11">
      <w:pPr>
        <w:pStyle w:val="ParaNumbering"/>
      </w:pPr>
      <w:r>
        <w:t>Section 32 of the Act provides:</w:t>
      </w:r>
    </w:p>
    <w:p w:rsidR="00D759A7" w:rsidRDefault="00D759A7" w:rsidP="00B92F1B">
      <w:pPr>
        <w:pStyle w:val="Quote1"/>
      </w:pPr>
      <w:r>
        <w:t>‘</w:t>
      </w:r>
      <w:r w:rsidR="00B92F1B" w:rsidRPr="00B773CD">
        <w:rPr>
          <w:b/>
        </w:rPr>
        <w:t>32  Carrying out the applicable customer identification procedure before the commencement of the provision of a designated service.</w:t>
      </w:r>
    </w:p>
    <w:p w:rsidR="00D759A7" w:rsidRDefault="00B92F1B" w:rsidP="00D759A7">
      <w:pPr>
        <w:pStyle w:val="Quote1"/>
        <w:ind w:left="1440" w:hanging="703"/>
      </w:pPr>
      <w:r>
        <w:t>(1</w:t>
      </w:r>
      <w:r w:rsidR="00D759A7">
        <w:t>)</w:t>
      </w:r>
      <w:r w:rsidR="00D759A7">
        <w:tab/>
      </w:r>
      <w:r>
        <w:t>A reporting entity must not commence to provide a designated service to a customer if:</w:t>
      </w:r>
    </w:p>
    <w:p w:rsidR="00D759A7" w:rsidRDefault="00B92F1B" w:rsidP="00D759A7">
      <w:pPr>
        <w:pStyle w:val="Quote2"/>
        <w:ind w:left="2160" w:hanging="720"/>
      </w:pPr>
      <w:r>
        <w:t>(a</w:t>
      </w:r>
      <w:r w:rsidR="00D759A7">
        <w:t>)</w:t>
      </w:r>
      <w:r w:rsidR="00D759A7">
        <w:tab/>
      </w:r>
      <w:r>
        <w:t>there are no special circumstances that justify carrying out the applicable customer identification procedure in respect of the customer after the commencement of the provision of the service (see section 33); and</w:t>
      </w:r>
    </w:p>
    <w:p w:rsidR="00D759A7" w:rsidRDefault="00B92F1B" w:rsidP="00D759A7">
      <w:pPr>
        <w:pStyle w:val="Quote2"/>
        <w:ind w:left="2160" w:hanging="720"/>
      </w:pPr>
      <w:r>
        <w:lastRenderedPageBreak/>
        <w:t>(b</w:t>
      </w:r>
      <w:r w:rsidR="00D759A7">
        <w:t>)</w:t>
      </w:r>
      <w:r w:rsidR="00D759A7">
        <w:tab/>
      </w:r>
      <w:r>
        <w:t>the reporting entity has not previously carried out the applicable customer identification procedure in respect of the customer; and</w:t>
      </w:r>
    </w:p>
    <w:p w:rsidR="00D759A7" w:rsidRDefault="00B92F1B" w:rsidP="00D759A7">
      <w:pPr>
        <w:pStyle w:val="Quote2"/>
        <w:ind w:left="2160" w:hanging="720"/>
      </w:pPr>
      <w:r>
        <w:t>(c</w:t>
      </w:r>
      <w:r w:rsidR="00D759A7">
        <w:t>)</w:t>
      </w:r>
      <w:r w:rsidR="00D759A7">
        <w:tab/>
      </w:r>
      <w:r>
        <w:t>neither section 28 nor section 30 applies to the provision of the service.</w:t>
      </w:r>
    </w:p>
    <w:p w:rsidR="00D759A7" w:rsidRPr="00B773CD" w:rsidRDefault="00B92F1B" w:rsidP="00B92F1B">
      <w:pPr>
        <w:pStyle w:val="Quote1"/>
        <w:rPr>
          <w:sz w:val="20"/>
        </w:rPr>
      </w:pPr>
      <w:r w:rsidRPr="00B773CD">
        <w:rPr>
          <w:sz w:val="20"/>
        </w:rPr>
        <w:t xml:space="preserve">Note 1:  See also the definition of </w:t>
      </w:r>
      <w:r w:rsidRPr="00B773CD">
        <w:rPr>
          <w:b/>
          <w:i/>
          <w:sz w:val="20"/>
        </w:rPr>
        <w:t>commence to provide a designated service</w:t>
      </w:r>
      <w:r w:rsidRPr="00B773CD">
        <w:rPr>
          <w:sz w:val="20"/>
        </w:rPr>
        <w:t xml:space="preserve"> in section 5.</w:t>
      </w:r>
    </w:p>
    <w:p w:rsidR="00D759A7" w:rsidRPr="00B773CD" w:rsidRDefault="00B92F1B" w:rsidP="00B92F1B">
      <w:pPr>
        <w:pStyle w:val="Quote1"/>
        <w:rPr>
          <w:sz w:val="20"/>
        </w:rPr>
      </w:pPr>
      <w:r w:rsidRPr="00B773CD">
        <w:rPr>
          <w:sz w:val="20"/>
        </w:rPr>
        <w:t>Note 2:  See also section 38 (when applicable customer identification procedure deemed to be carried out by a reporting entity).</w:t>
      </w:r>
    </w:p>
    <w:p w:rsidR="00D759A7" w:rsidRPr="00B773CD" w:rsidRDefault="00B92F1B" w:rsidP="00B92F1B">
      <w:pPr>
        <w:pStyle w:val="Quote1"/>
        <w:rPr>
          <w:i/>
        </w:rPr>
      </w:pPr>
      <w:r w:rsidRPr="00B773CD">
        <w:rPr>
          <w:i/>
        </w:rPr>
        <w:t>Civil penalty</w:t>
      </w:r>
    </w:p>
    <w:p w:rsidR="00B92F1B" w:rsidRDefault="00B92F1B" w:rsidP="009D34A5">
      <w:pPr>
        <w:pStyle w:val="Quote1"/>
        <w:spacing w:after="120"/>
      </w:pPr>
      <w:r>
        <w:t xml:space="preserve">(2) </w:t>
      </w:r>
      <w:r w:rsidR="00D759A7">
        <w:tab/>
      </w:r>
      <w:r>
        <w:t>Subsection (1) is a civil penalty provision.</w:t>
      </w:r>
      <w:r w:rsidR="00D759A7">
        <w:t>’</w:t>
      </w:r>
    </w:p>
    <w:p w:rsidR="00B92F1B" w:rsidRDefault="00B92F1B" w:rsidP="00B92F1B">
      <w:pPr>
        <w:pStyle w:val="Quote1"/>
      </w:pPr>
    </w:p>
    <w:p w:rsidR="00B92F1B" w:rsidRDefault="00B92F1B" w:rsidP="00B92F1B">
      <w:pPr>
        <w:pStyle w:val="ParaNumbering"/>
      </w:pPr>
      <w:r>
        <w:t>T</w:t>
      </w:r>
      <w:r w:rsidR="004E7EAF">
        <w:t>AB</w:t>
      </w:r>
      <w:r>
        <w:t xml:space="preserve"> admits that it f</w:t>
      </w:r>
      <w:r w:rsidR="008E3148">
        <w:t>a</w:t>
      </w:r>
      <w:r>
        <w:t>iled to carry</w:t>
      </w:r>
      <w:r w:rsidR="008E3148">
        <w:t xml:space="preserve"> </w:t>
      </w:r>
      <w:r>
        <w:t xml:space="preserve">out applicable customer identification procedures on 25 March 2015.  This occurred at a retail outlet.  A customer requested his winning vouchers to be redeemed in cash but the retail operator refused to pay the whole amount in cash.  This caused the customer to become agitated.  The operator believed, correctly as it happens, </w:t>
      </w:r>
      <w:r w:rsidR="008E3148">
        <w:t xml:space="preserve">that she knew </w:t>
      </w:r>
      <w:r>
        <w:t xml:space="preserve">who the ultimate customer was.  This was </w:t>
      </w:r>
      <w:r w:rsidR="008E3148">
        <w:t>‘P</w:t>
      </w:r>
      <w:r>
        <w:t>erson 102</w:t>
      </w:r>
      <w:r w:rsidR="008E3148">
        <w:t>’</w:t>
      </w:r>
      <w:r>
        <w:t xml:space="preserve"> who was a well-known </w:t>
      </w:r>
      <w:r w:rsidR="008E3148">
        <w:t>high</w:t>
      </w:r>
      <w:r>
        <w:t xml:space="preserve"> risk customer with a known and significant history.  </w:t>
      </w:r>
      <w:r w:rsidR="005B3740">
        <w:t xml:space="preserve">Since </w:t>
      </w:r>
      <w:r>
        <w:t xml:space="preserve">the </w:t>
      </w:r>
      <w:r w:rsidR="008E3148">
        <w:t xml:space="preserve">ultimate </w:t>
      </w:r>
      <w:r>
        <w:t xml:space="preserve">customer was </w:t>
      </w:r>
      <w:r w:rsidR="005B3740">
        <w:t xml:space="preserve">thought to be </w:t>
      </w:r>
      <w:r>
        <w:t>known, the operator then approached the transaction on the basis that it could</w:t>
      </w:r>
      <w:r w:rsidR="00510D67">
        <w:t xml:space="preserve"> not</w:t>
      </w:r>
      <w:r>
        <w:t xml:space="preserve"> be completed.  An SMR was submitted which identified </w:t>
      </w:r>
      <w:r w:rsidR="008E3148">
        <w:t>Person</w:t>
      </w:r>
      <w:r>
        <w:t xml:space="preserve"> 102 but no details were obtained about the immediate customer</w:t>
      </w:r>
      <w:r w:rsidR="008E3148">
        <w:t xml:space="preserve"> who presented at the counter</w:t>
      </w:r>
      <w:r w:rsidR="001A110C">
        <w:t>.</w:t>
      </w:r>
      <w:r>
        <w:t xml:space="preserve">  Since this occurrence</w:t>
      </w:r>
      <w:r w:rsidR="008E3148">
        <w:t>,</w:t>
      </w:r>
      <w:r>
        <w:t xml:space="preserve"> T</w:t>
      </w:r>
      <w:r w:rsidR="004E7EAF">
        <w:t>AB</w:t>
      </w:r>
      <w:r>
        <w:t xml:space="preserve"> has improved its procedures at retail outlets.  It admitted this contravention at the earliest opportunity.</w:t>
      </w:r>
    </w:p>
    <w:p w:rsidR="0074309A" w:rsidRDefault="00B92F1B" w:rsidP="00B92F1B">
      <w:pPr>
        <w:pStyle w:val="ParaNumbering"/>
      </w:pPr>
      <w:r>
        <w:t xml:space="preserve">The maximum penalty is $17 million.  The parties suggested a penalty of $3 million </w:t>
      </w:r>
      <w:r w:rsidR="00D759A7">
        <w:t>would be appropriate</w:t>
      </w:r>
      <w:r w:rsidR="001A110C">
        <w:t xml:space="preserve">.  Having regard to the affirmative matters mentioned above I accept that this lies within the acceptable range of </w:t>
      </w:r>
      <w:r w:rsidR="0074309A">
        <w:t>penalties.</w:t>
      </w:r>
    </w:p>
    <w:p w:rsidR="0074309A" w:rsidRDefault="008B151D" w:rsidP="0074309A">
      <w:pPr>
        <w:pStyle w:val="Heading2"/>
      </w:pPr>
      <w:r>
        <w:t>4</w:t>
      </w:r>
      <w:r w:rsidR="0074309A">
        <w:t>.    The Appropriate Penalty</w:t>
      </w:r>
    </w:p>
    <w:p w:rsidR="0074309A" w:rsidRDefault="0074309A" w:rsidP="0074309A">
      <w:pPr>
        <w:pStyle w:val="ParaNumbering"/>
      </w:pPr>
      <w:r>
        <w:t>The sum of the above penalties is some $45 million.</w:t>
      </w:r>
      <w:r w:rsidR="008E3148">
        <w:t xml:space="preserve"> </w:t>
      </w:r>
      <w:r>
        <w:t xml:space="preserve"> It is </w:t>
      </w:r>
      <w:r w:rsidR="008E3148">
        <w:t xml:space="preserve">then </w:t>
      </w:r>
      <w:r>
        <w:t>necessary, finally, to reflect upon whether th</w:t>
      </w:r>
      <w:r w:rsidR="008E3148">
        <w:t>at</w:t>
      </w:r>
      <w:r>
        <w:t xml:space="preserve"> penalty captures the totality of the wrongdoing involved.  This is, in effect, a final check. </w:t>
      </w:r>
      <w:r w:rsidR="00EF68F6">
        <w:t xml:space="preserve"> </w:t>
      </w:r>
      <w:r w:rsidR="00C43EBC">
        <w:t>In m</w:t>
      </w:r>
      <w:r>
        <w:t>y opinion, a $45 million penalty is appropriate.  It is true that the failures were system failures but that is precisely what th</w:t>
      </w:r>
      <w:r w:rsidR="008E3148">
        <w:t>is</w:t>
      </w:r>
      <w:r>
        <w:t xml:space="preserve"> statute is about.  It is also true that the penalties could have been much greater had the Court not accepted that in several instances courses of conduct were in</w:t>
      </w:r>
      <w:r w:rsidR="008E3148">
        <w:t>volv</w:t>
      </w:r>
      <w:r>
        <w:t>ed.  Overall</w:t>
      </w:r>
      <w:r w:rsidR="00EF68F6">
        <w:t>,</w:t>
      </w:r>
      <w:r>
        <w:t xml:space="preserve"> a penalty of $45 million will serve to demonstrate to those in the industry that failures to comply with the </w:t>
      </w:r>
      <w:r w:rsidR="008E3148">
        <w:t>A</w:t>
      </w:r>
      <w:r>
        <w:t>ct have a very real potential to be expensive.</w:t>
      </w:r>
      <w:r w:rsidR="00B773CD">
        <w:t xml:space="preserve">  Finally, in this case it is useful to approach the issue of penalty on </w:t>
      </w:r>
      <w:r w:rsidR="00B773CD">
        <w:lastRenderedPageBreak/>
        <w:t>a group wide basis.  Little would be served by assessing the penalty position of each entity in the group when the overall group position is known.</w:t>
      </w:r>
    </w:p>
    <w:p w:rsidR="0074309A" w:rsidRDefault="008B151D" w:rsidP="0074309A">
      <w:pPr>
        <w:pStyle w:val="Heading2"/>
      </w:pPr>
      <w:r>
        <w:t>5</w:t>
      </w:r>
      <w:r w:rsidR="0074309A">
        <w:t>.    Declarations and Costs</w:t>
      </w:r>
    </w:p>
    <w:p w:rsidR="00C47AE6" w:rsidRDefault="0074309A" w:rsidP="00C47AE6">
      <w:pPr>
        <w:pStyle w:val="ParaNumbering"/>
      </w:pPr>
      <w:r>
        <w:t xml:space="preserve">The parties also agreed that the Court should make declarations.  The declarations reflect the contraventions and are appropriate.  They also agreed that </w:t>
      </w:r>
      <w:r w:rsidR="007F07B9">
        <w:t xml:space="preserve">the Respondents </w:t>
      </w:r>
      <w:r>
        <w:t>should pay AUSTRAC’s costs.  This</w:t>
      </w:r>
      <w:r w:rsidR="008E3148">
        <w:t>,</w:t>
      </w:r>
      <w:r>
        <w:t xml:space="preserve"> too</w:t>
      </w:r>
      <w:r w:rsidR="008E3148">
        <w:t>,</w:t>
      </w:r>
      <w:r>
        <w:t xml:space="preserve"> is appropriate.</w:t>
      </w:r>
      <w:r w:rsidR="00F93A36">
        <w:t xml:space="preserve">  It was for these reasons that I made the orders I did </w:t>
      </w:r>
      <w:r w:rsidR="0030799D">
        <w:t>on</w:t>
      </w:r>
      <w:r w:rsidR="00F93A36">
        <w:t xml:space="preserve"> 16 March 2017.</w:t>
      </w:r>
      <w:r w:rsidR="00B773CD">
        <w:t xml:space="preserve">  There are presently in place a series of interim confidentiality orders.  An issue arises as to how long these should last.  My present thinking is that 3 years would suffice but I would welcome the submissions of the parties within 28 days.</w:t>
      </w:r>
    </w:p>
    <w:p w:rsidR="00EE60C6" w:rsidRDefault="00EE60C6" w:rsidP="00EE60C6">
      <w:pPr>
        <w:pStyle w:val="ParaNumbering"/>
        <w:numPr>
          <w:ilvl w:val="0"/>
          <w:numId w:val="0"/>
        </w:numPr>
      </w:pPr>
    </w:p>
    <w:tbl>
      <w:tblPr>
        <w:tblW w:w="0" w:type="auto"/>
        <w:tblLook w:val="04A0" w:firstRow="1" w:lastRow="0" w:firstColumn="1" w:lastColumn="0" w:noHBand="0" w:noVBand="1"/>
      </w:tblPr>
      <w:tblGrid>
        <w:gridCol w:w="3794"/>
      </w:tblGrid>
      <w:tr w:rsidR="00C47AE6" w:rsidRPr="00C47AE6">
        <w:tc>
          <w:tcPr>
            <w:tcW w:w="3794" w:type="dxa"/>
            <w:shd w:val="clear" w:color="auto" w:fill="auto"/>
          </w:tcPr>
          <w:p w:rsidR="00C47AE6" w:rsidRPr="00C47AE6" w:rsidRDefault="00C47AE6" w:rsidP="00E146FD">
            <w:pPr>
              <w:pStyle w:val="Normal1linespace"/>
            </w:pPr>
            <w:bookmarkStart w:id="20" w:name="Certification"/>
            <w:r w:rsidRPr="00C47AE6">
              <w:t xml:space="preserve">I certify that the preceding </w:t>
            </w:r>
            <w:bookmarkStart w:id="21" w:name="NumberWord"/>
            <w:r w:rsidR="00257D3F">
              <w:t>fifty-</w:t>
            </w:r>
            <w:r w:rsidR="00E146FD">
              <w:t>four</w:t>
            </w:r>
            <w:bookmarkEnd w:id="21"/>
            <w:r w:rsidRPr="00C47AE6">
              <w:t xml:space="preserve"> (</w:t>
            </w:r>
            <w:bookmarkStart w:id="22" w:name="NumberNumeral"/>
            <w:r w:rsidR="00257D3F">
              <w:t>5</w:t>
            </w:r>
            <w:r w:rsidR="00E146FD">
              <w:t>4</w:t>
            </w:r>
            <w:bookmarkEnd w:id="22"/>
            <w:r w:rsidRPr="00C47AE6">
              <w:t xml:space="preserve">) numbered </w:t>
            </w:r>
            <w:bookmarkStart w:id="23" w:name="CertPara"/>
            <w:r w:rsidR="00257D3F">
              <w:t>paragraphs are</w:t>
            </w:r>
            <w:bookmarkEnd w:id="23"/>
            <w:r w:rsidRPr="00C47AE6">
              <w:t xml:space="preserve"> a true copy of the Reasons for Judgment herein of the Honourable </w:t>
            </w:r>
            <w:bookmarkStart w:id="24" w:name="Justice"/>
            <w:r w:rsidR="00257D3F">
              <w:t>Justice Perram</w:t>
            </w:r>
            <w:bookmarkEnd w:id="24"/>
            <w:r w:rsidRPr="00C47AE6">
              <w:t>.</w:t>
            </w:r>
          </w:p>
        </w:tc>
      </w:tr>
    </w:tbl>
    <w:p w:rsidR="00FA6E49" w:rsidRDefault="00FA6E49" w:rsidP="001110B5">
      <w:pPr>
        <w:pStyle w:val="BodyText"/>
      </w:pPr>
    </w:p>
    <w:p w:rsidR="00FA6E49" w:rsidRDefault="00FA6E49" w:rsidP="001110B5">
      <w:pPr>
        <w:pStyle w:val="BodyText"/>
      </w:pPr>
    </w:p>
    <w:p w:rsidR="00C47AE6" w:rsidRDefault="00C47AE6" w:rsidP="001110B5">
      <w:pPr>
        <w:pStyle w:val="BodyText"/>
      </w:pPr>
      <w:bookmarkStart w:id="25" w:name="_GoBack"/>
      <w:bookmarkEnd w:id="25"/>
      <w:r>
        <w:t>Associate:</w:t>
      </w:r>
      <w:r w:rsidR="00B773CD">
        <w:t xml:space="preserve">  </w:t>
      </w:r>
    </w:p>
    <w:p w:rsidR="00F93A36" w:rsidRDefault="00F93A36" w:rsidP="001110B5">
      <w:pPr>
        <w:pStyle w:val="BodyText"/>
      </w:pPr>
    </w:p>
    <w:p w:rsidR="00C47AE6" w:rsidRPr="0074309A" w:rsidRDefault="00C47AE6" w:rsidP="008E3148">
      <w:pPr>
        <w:pStyle w:val="BodyText"/>
        <w:tabs>
          <w:tab w:val="left" w:pos="1134"/>
        </w:tabs>
      </w:pPr>
      <w:r>
        <w:t>Dated:</w:t>
      </w:r>
      <w:bookmarkStart w:id="26" w:name="CertifyDated"/>
      <w:bookmarkEnd w:id="20"/>
      <w:r w:rsidR="00B773CD">
        <w:tab/>
        <w:t xml:space="preserve">10 </w:t>
      </w:r>
      <w:r w:rsidR="003D7961">
        <w:t>November</w:t>
      </w:r>
      <w:r w:rsidR="00257D3F">
        <w:t xml:space="preserve"> 2017</w:t>
      </w:r>
      <w:bookmarkEnd w:id="26"/>
      <w:r>
        <w:t xml:space="preserve"> </w:t>
      </w:r>
    </w:p>
    <w:sectPr w:rsidR="00C47AE6" w:rsidRPr="0074309A">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EB" w:rsidRDefault="00CA01EB">
      <w:pPr>
        <w:spacing w:line="20" w:lineRule="exact"/>
      </w:pPr>
    </w:p>
    <w:p w:rsidR="00CA01EB" w:rsidRDefault="00CA01EB"/>
    <w:p w:rsidR="00CA01EB" w:rsidRDefault="00CA01EB"/>
  </w:endnote>
  <w:endnote w:type="continuationSeparator" w:id="0">
    <w:p w:rsidR="00CA01EB" w:rsidRDefault="00CA01EB">
      <w:r>
        <w:t xml:space="preserve"> </w:t>
      </w:r>
    </w:p>
    <w:p w:rsidR="00CA01EB" w:rsidRDefault="00CA01EB"/>
    <w:p w:rsidR="00CA01EB" w:rsidRDefault="00CA01EB"/>
  </w:endnote>
  <w:endnote w:type="continuationNotice" w:id="1">
    <w:p w:rsidR="00CA01EB" w:rsidRDefault="00CA01EB">
      <w:r>
        <w:t xml:space="preserve"> </w:t>
      </w:r>
    </w:p>
    <w:p w:rsidR="00CA01EB" w:rsidRDefault="00CA01EB"/>
    <w:p w:rsidR="00CA01EB" w:rsidRDefault="00CA0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Pr="00B773CD" w:rsidRDefault="00CA01EB" w:rsidP="00B77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B773CD" w:rsidP="00B773CD">
    <w:pPr>
      <w:pStyle w:val="Footer"/>
      <w:rPr>
        <w:sz w:val="28"/>
      </w:rPr>
    </w:pP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EB" w:rsidRDefault="00CA01EB"/>
    <w:p w:rsidR="00CA01EB" w:rsidRDefault="00CA01EB"/>
    <w:p w:rsidR="00CA01EB" w:rsidRDefault="00CA01EB"/>
  </w:footnote>
  <w:footnote w:type="continuationSeparator" w:id="0">
    <w:p w:rsidR="00CA01EB" w:rsidRDefault="00CA01EB">
      <w:r>
        <w:continuationSeparator/>
      </w:r>
    </w:p>
    <w:p w:rsidR="00CA01EB" w:rsidRDefault="00CA01EB"/>
    <w:p w:rsidR="00CA01EB" w:rsidRDefault="00CA0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CA01EB">
    <w:pPr>
      <w:tabs>
        <w:tab w:val="center" w:pos="4512"/>
      </w:tabs>
      <w:suppressAutoHyphens/>
    </w:pPr>
    <w:r>
      <w:tab/>
      <w:t xml:space="preserve">- </w:t>
    </w:r>
    <w:r>
      <w:fldChar w:fldCharType="begin"/>
    </w:r>
    <w:r>
      <w:instrText xml:space="preserve"> PAGE   \* MERGEFORMAT </w:instrText>
    </w:r>
    <w:r>
      <w:fldChar w:fldCharType="separate"/>
    </w:r>
    <w:r w:rsidR="00FA6E49">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CA01EB">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CA01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CA01EB">
    <w:pPr>
      <w:tabs>
        <w:tab w:val="center" w:pos="4512"/>
      </w:tabs>
      <w:suppressAutoHyphens/>
    </w:pPr>
    <w:r>
      <w:tab/>
      <w:t xml:space="preserve">- </w:t>
    </w:r>
    <w:r>
      <w:fldChar w:fldCharType="begin"/>
    </w:r>
    <w:r>
      <w:instrText>page \* arabic</w:instrText>
    </w:r>
    <w:r>
      <w:fldChar w:fldCharType="separate"/>
    </w:r>
    <w:r w:rsidR="00FA6E49">
      <w:rPr>
        <w:noProof/>
      </w:rPr>
      <w:t>20</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EB" w:rsidRDefault="00CA01EB">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1C3E21BB"/>
    <w:multiLevelType w:val="multilevel"/>
    <w:tmpl w:val="0F0EC90E"/>
    <w:numStyleLink w:val="FCListNo"/>
  </w:abstractNum>
  <w:abstractNum w:abstractNumId="14">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12D4632"/>
    <w:multiLevelType w:val="hybridMultilevel"/>
    <w:tmpl w:val="C44E6BA4"/>
    <w:lvl w:ilvl="0" w:tplc="CDCA57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nsid w:val="337971C5"/>
    <w:multiLevelType w:val="multilevel"/>
    <w:tmpl w:val="D92E3284"/>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9">
    <w:nsid w:val="44BC177D"/>
    <w:multiLevelType w:val="multilevel"/>
    <w:tmpl w:val="AF7CC36C"/>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6500923"/>
    <w:multiLevelType w:val="singleLevel"/>
    <w:tmpl w:val="D4A44F62"/>
    <w:lvl w:ilvl="0">
      <w:start w:val="1"/>
      <w:numFmt w:val="lowerLetter"/>
      <w:lvlText w:val="(%1)"/>
      <w:lvlJc w:val="left"/>
      <w:pPr>
        <w:tabs>
          <w:tab w:val="num" w:pos="720"/>
        </w:tabs>
        <w:ind w:left="720" w:hanging="720"/>
      </w:pPr>
      <w:rPr>
        <w:rFonts w:hint="default"/>
      </w:rPr>
    </w:lvl>
  </w:abstractNum>
  <w:abstractNum w:abstractNumId="23">
    <w:nsid w:val="5C2A7571"/>
    <w:multiLevelType w:val="singleLevel"/>
    <w:tmpl w:val="0C09000F"/>
    <w:lvl w:ilvl="0">
      <w:start w:val="1"/>
      <w:numFmt w:val="decimal"/>
      <w:lvlText w:val="%1."/>
      <w:lvlJc w:val="left"/>
      <w:pPr>
        <w:tabs>
          <w:tab w:val="num" w:pos="720"/>
        </w:tabs>
        <w:ind w:left="720" w:hanging="720"/>
      </w:pPr>
      <w:rPr>
        <w:rFonts w:hint="default"/>
      </w:rPr>
    </w:lvl>
  </w:abstractNum>
  <w:abstractNum w:abstractNumId="24">
    <w:nsid w:val="5EB9395F"/>
    <w:multiLevelType w:val="hybridMultilevel"/>
    <w:tmpl w:val="417EDCF4"/>
    <w:lvl w:ilvl="0" w:tplc="C3BCA144">
      <w:start w:val="2"/>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9E4481"/>
    <w:multiLevelType w:val="hybridMultilevel"/>
    <w:tmpl w:val="E0748772"/>
    <w:lvl w:ilvl="0" w:tplc="C7BC008E">
      <w:start w:val="1"/>
      <w:numFmt w:val="lowerLetter"/>
      <w:lvlText w:val="(%1)"/>
      <w:lvlJc w:val="left"/>
      <w:pPr>
        <w:ind w:left="1097" w:hanging="360"/>
      </w:pPr>
      <w:rPr>
        <w:rFonts w:hint="default"/>
      </w:rPr>
    </w:lvl>
    <w:lvl w:ilvl="1" w:tplc="BE36A3AA" w:tentative="1">
      <w:start w:val="1"/>
      <w:numFmt w:val="lowerLetter"/>
      <w:lvlText w:val="%2."/>
      <w:lvlJc w:val="left"/>
      <w:pPr>
        <w:ind w:left="1817" w:hanging="360"/>
      </w:pPr>
    </w:lvl>
    <w:lvl w:ilvl="2" w:tplc="4C0E0A74" w:tentative="1">
      <w:start w:val="1"/>
      <w:numFmt w:val="lowerRoman"/>
      <w:lvlText w:val="%3."/>
      <w:lvlJc w:val="right"/>
      <w:pPr>
        <w:ind w:left="2537" w:hanging="180"/>
      </w:pPr>
    </w:lvl>
    <w:lvl w:ilvl="3" w:tplc="547EBF78" w:tentative="1">
      <w:start w:val="1"/>
      <w:numFmt w:val="decimal"/>
      <w:lvlText w:val="%4."/>
      <w:lvlJc w:val="left"/>
      <w:pPr>
        <w:ind w:left="3257" w:hanging="360"/>
      </w:pPr>
    </w:lvl>
    <w:lvl w:ilvl="4" w:tplc="054EBCCE" w:tentative="1">
      <w:start w:val="1"/>
      <w:numFmt w:val="lowerLetter"/>
      <w:lvlText w:val="%5."/>
      <w:lvlJc w:val="left"/>
      <w:pPr>
        <w:ind w:left="3977" w:hanging="360"/>
      </w:pPr>
    </w:lvl>
    <w:lvl w:ilvl="5" w:tplc="9A2288C0" w:tentative="1">
      <w:start w:val="1"/>
      <w:numFmt w:val="lowerRoman"/>
      <w:lvlText w:val="%6."/>
      <w:lvlJc w:val="right"/>
      <w:pPr>
        <w:ind w:left="4697" w:hanging="180"/>
      </w:pPr>
    </w:lvl>
    <w:lvl w:ilvl="6" w:tplc="8F2AC334" w:tentative="1">
      <w:start w:val="1"/>
      <w:numFmt w:val="decimal"/>
      <w:lvlText w:val="%7."/>
      <w:lvlJc w:val="left"/>
      <w:pPr>
        <w:ind w:left="5417" w:hanging="360"/>
      </w:pPr>
    </w:lvl>
    <w:lvl w:ilvl="7" w:tplc="3B6C2B20" w:tentative="1">
      <w:start w:val="1"/>
      <w:numFmt w:val="lowerLetter"/>
      <w:lvlText w:val="%8."/>
      <w:lvlJc w:val="left"/>
      <w:pPr>
        <w:ind w:left="6137" w:hanging="360"/>
      </w:pPr>
    </w:lvl>
    <w:lvl w:ilvl="8" w:tplc="F0BE2A5E" w:tentative="1">
      <w:start w:val="1"/>
      <w:numFmt w:val="lowerRoman"/>
      <w:lvlText w:val="%9."/>
      <w:lvlJc w:val="right"/>
      <w:pPr>
        <w:ind w:left="6857" w:hanging="180"/>
      </w:p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9CC1410"/>
    <w:multiLevelType w:val="multilevel"/>
    <w:tmpl w:val="0F0EC90E"/>
    <w:numStyleLink w:val="FCListNo"/>
  </w:abstractNum>
  <w:abstractNum w:abstractNumId="28">
    <w:nsid w:val="6F9B6398"/>
    <w:multiLevelType w:val="hybridMultilevel"/>
    <w:tmpl w:val="0E4CBD92"/>
    <w:lvl w:ilvl="0" w:tplc="D130D8A0">
      <w:start w:val="1"/>
      <w:numFmt w:val="bullet"/>
      <w:pStyle w:val="Quote1Bullet"/>
      <w:lvlText w:val=""/>
      <w:lvlJc w:val="left"/>
      <w:pPr>
        <w:ind w:left="1457" w:hanging="360"/>
      </w:pPr>
      <w:rPr>
        <w:rFonts w:ascii="Wingdings" w:hAnsi="Wingdings" w:hint="default"/>
      </w:rPr>
    </w:lvl>
    <w:lvl w:ilvl="1" w:tplc="0F78DF30" w:tentative="1">
      <w:start w:val="1"/>
      <w:numFmt w:val="bullet"/>
      <w:lvlText w:val="o"/>
      <w:lvlJc w:val="left"/>
      <w:pPr>
        <w:ind w:left="2177" w:hanging="360"/>
      </w:pPr>
      <w:rPr>
        <w:rFonts w:ascii="Courier New" w:hAnsi="Courier New" w:cs="Courier New" w:hint="default"/>
      </w:rPr>
    </w:lvl>
    <w:lvl w:ilvl="2" w:tplc="CBE6D7BA" w:tentative="1">
      <w:start w:val="1"/>
      <w:numFmt w:val="bullet"/>
      <w:lvlText w:val=""/>
      <w:lvlJc w:val="left"/>
      <w:pPr>
        <w:ind w:left="2897" w:hanging="360"/>
      </w:pPr>
      <w:rPr>
        <w:rFonts w:ascii="Wingdings" w:hAnsi="Wingdings" w:hint="default"/>
      </w:rPr>
    </w:lvl>
    <w:lvl w:ilvl="3" w:tplc="7B82CCC2" w:tentative="1">
      <w:start w:val="1"/>
      <w:numFmt w:val="bullet"/>
      <w:lvlText w:val=""/>
      <w:lvlJc w:val="left"/>
      <w:pPr>
        <w:ind w:left="3617" w:hanging="360"/>
      </w:pPr>
      <w:rPr>
        <w:rFonts w:ascii="Symbol" w:hAnsi="Symbol" w:hint="default"/>
      </w:rPr>
    </w:lvl>
    <w:lvl w:ilvl="4" w:tplc="EA044652" w:tentative="1">
      <w:start w:val="1"/>
      <w:numFmt w:val="bullet"/>
      <w:lvlText w:val="o"/>
      <w:lvlJc w:val="left"/>
      <w:pPr>
        <w:ind w:left="4337" w:hanging="360"/>
      </w:pPr>
      <w:rPr>
        <w:rFonts w:ascii="Courier New" w:hAnsi="Courier New" w:cs="Courier New" w:hint="default"/>
      </w:rPr>
    </w:lvl>
    <w:lvl w:ilvl="5" w:tplc="1CC63AB6" w:tentative="1">
      <w:start w:val="1"/>
      <w:numFmt w:val="bullet"/>
      <w:lvlText w:val=""/>
      <w:lvlJc w:val="left"/>
      <w:pPr>
        <w:ind w:left="5057" w:hanging="360"/>
      </w:pPr>
      <w:rPr>
        <w:rFonts w:ascii="Wingdings" w:hAnsi="Wingdings" w:hint="default"/>
      </w:rPr>
    </w:lvl>
    <w:lvl w:ilvl="6" w:tplc="E730C714" w:tentative="1">
      <w:start w:val="1"/>
      <w:numFmt w:val="bullet"/>
      <w:lvlText w:val=""/>
      <w:lvlJc w:val="left"/>
      <w:pPr>
        <w:ind w:left="5777" w:hanging="360"/>
      </w:pPr>
      <w:rPr>
        <w:rFonts w:ascii="Symbol" w:hAnsi="Symbol" w:hint="default"/>
      </w:rPr>
    </w:lvl>
    <w:lvl w:ilvl="7" w:tplc="E86E5804" w:tentative="1">
      <w:start w:val="1"/>
      <w:numFmt w:val="bullet"/>
      <w:lvlText w:val="o"/>
      <w:lvlJc w:val="left"/>
      <w:pPr>
        <w:ind w:left="6497" w:hanging="360"/>
      </w:pPr>
      <w:rPr>
        <w:rFonts w:ascii="Courier New" w:hAnsi="Courier New" w:cs="Courier New" w:hint="default"/>
      </w:rPr>
    </w:lvl>
    <w:lvl w:ilvl="8" w:tplc="13A286FE" w:tentative="1">
      <w:start w:val="1"/>
      <w:numFmt w:val="bullet"/>
      <w:lvlText w:val=""/>
      <w:lvlJc w:val="left"/>
      <w:pPr>
        <w:ind w:left="7217" w:hanging="360"/>
      </w:pPr>
      <w:rPr>
        <w:rFonts w:ascii="Wingdings" w:hAnsi="Wingding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0"/>
  </w:num>
  <w:num w:numId="15">
    <w:abstractNumId w:val="21"/>
  </w:num>
  <w:num w:numId="16">
    <w:abstractNumId w:val="29"/>
  </w:num>
  <w:num w:numId="17">
    <w:abstractNumId w:val="12"/>
  </w:num>
  <w:num w:numId="18">
    <w:abstractNumId w:val="28"/>
  </w:num>
  <w:num w:numId="19">
    <w:abstractNumId w:val="10"/>
  </w:num>
  <w:num w:numId="20">
    <w:abstractNumId w:val="17"/>
  </w:num>
  <w:num w:numId="21">
    <w:abstractNumId w:val="23"/>
  </w:num>
  <w:num w:numId="22">
    <w:abstractNumId w:val="15"/>
  </w:num>
  <w:num w:numId="23">
    <w:abstractNumId w:val="15"/>
  </w:num>
  <w:num w:numId="24">
    <w:abstractNumId w:val="16"/>
  </w:num>
  <w:num w:numId="25">
    <w:abstractNumId w:val="25"/>
  </w:num>
  <w:num w:numId="26">
    <w:abstractNumId w:val="15"/>
    <w:lvlOverride w:ilvl="0">
      <w:startOverride w:val="1"/>
    </w:lvlOverride>
    <w:lvlOverride w:ilvl="1">
      <w:startOverride w:val="5"/>
    </w:lvlOverride>
  </w:num>
  <w:num w:numId="27">
    <w:abstractNumId w:val="13"/>
  </w:num>
  <w:num w:numId="28">
    <w:abstractNumId w:val="19"/>
  </w:num>
  <w:num w:numId="29">
    <w:abstractNumId w:val="22"/>
  </w:num>
  <w:num w:numId="30">
    <w:abstractNumId w:val="27"/>
  </w:num>
  <w:num w:numId="31">
    <w:abstractNumId w:val="18"/>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Chief Executive Officer of the Australian Transaction Reports and Analysis Centre"/>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852/2015"/>
    <w:docVar w:name="HearingDate" w:val="xx"/>
    <w:docVar w:name="Initiators" w:val="(and another named in the Schedule)"/>
    <w:docVar w:name="Judgdate" w:val="xx September 2017"/>
    <w:docVar w:name="Judge" w:val="Perram"/>
    <w:docVar w:name="Justices" w:val="Justice"/>
    <w:docVar w:name="lstEntryList" w:val="-1"/>
    <w:docVar w:name="myEntryList" w:val="Counsel for the Applicant=|Solicitor for the Applicant=|Counsel for the Respondent=|Solicitor for the Respondent="/>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TAB Limited"/>
    <w:docVar w:name="ResState" w:val="New South Wales"/>
    <w:docVar w:name="SubArea" w:val="[none]"/>
  </w:docVars>
  <w:rsids>
    <w:rsidRoot w:val="00BA02A7"/>
    <w:rsid w:val="000026AE"/>
    <w:rsid w:val="00012482"/>
    <w:rsid w:val="0001469E"/>
    <w:rsid w:val="00015993"/>
    <w:rsid w:val="00016303"/>
    <w:rsid w:val="00022289"/>
    <w:rsid w:val="00032F9F"/>
    <w:rsid w:val="0003685B"/>
    <w:rsid w:val="000407D8"/>
    <w:rsid w:val="00041C07"/>
    <w:rsid w:val="00045BB7"/>
    <w:rsid w:val="00054B60"/>
    <w:rsid w:val="00055719"/>
    <w:rsid w:val="0005641B"/>
    <w:rsid w:val="00063A21"/>
    <w:rsid w:val="00065D41"/>
    <w:rsid w:val="00081497"/>
    <w:rsid w:val="00090690"/>
    <w:rsid w:val="00091AA9"/>
    <w:rsid w:val="000974FC"/>
    <w:rsid w:val="000A2E76"/>
    <w:rsid w:val="000A4807"/>
    <w:rsid w:val="000A4BE4"/>
    <w:rsid w:val="000C023E"/>
    <w:rsid w:val="000C5195"/>
    <w:rsid w:val="000C62EF"/>
    <w:rsid w:val="000D2137"/>
    <w:rsid w:val="000D3FD2"/>
    <w:rsid w:val="000E1ED9"/>
    <w:rsid w:val="000E6902"/>
    <w:rsid w:val="000E7BAE"/>
    <w:rsid w:val="000F133D"/>
    <w:rsid w:val="0010536B"/>
    <w:rsid w:val="001110B5"/>
    <w:rsid w:val="0011145C"/>
    <w:rsid w:val="001128BD"/>
    <w:rsid w:val="001133C8"/>
    <w:rsid w:val="0011419D"/>
    <w:rsid w:val="00122578"/>
    <w:rsid w:val="00132054"/>
    <w:rsid w:val="00141AE0"/>
    <w:rsid w:val="0016019B"/>
    <w:rsid w:val="001714E8"/>
    <w:rsid w:val="00171AE1"/>
    <w:rsid w:val="001722D7"/>
    <w:rsid w:val="001727A4"/>
    <w:rsid w:val="0017376C"/>
    <w:rsid w:val="001738AB"/>
    <w:rsid w:val="00173A35"/>
    <w:rsid w:val="001765E0"/>
    <w:rsid w:val="00177759"/>
    <w:rsid w:val="00185E6B"/>
    <w:rsid w:val="00187BBC"/>
    <w:rsid w:val="001932F3"/>
    <w:rsid w:val="001A110C"/>
    <w:rsid w:val="001A4309"/>
    <w:rsid w:val="001B1053"/>
    <w:rsid w:val="001B1493"/>
    <w:rsid w:val="001B14AC"/>
    <w:rsid w:val="001B7940"/>
    <w:rsid w:val="001C37CA"/>
    <w:rsid w:val="001D4303"/>
    <w:rsid w:val="001D6257"/>
    <w:rsid w:val="001D6746"/>
    <w:rsid w:val="001D70B7"/>
    <w:rsid w:val="001D749D"/>
    <w:rsid w:val="001E3B49"/>
    <w:rsid w:val="001E63ED"/>
    <w:rsid w:val="001E6E16"/>
    <w:rsid w:val="001E7388"/>
    <w:rsid w:val="001F13DD"/>
    <w:rsid w:val="001F2DBC"/>
    <w:rsid w:val="0020254B"/>
    <w:rsid w:val="0020262C"/>
    <w:rsid w:val="00224537"/>
    <w:rsid w:val="00226AAA"/>
    <w:rsid w:val="00235956"/>
    <w:rsid w:val="0024591A"/>
    <w:rsid w:val="00245A0A"/>
    <w:rsid w:val="00247B9C"/>
    <w:rsid w:val="00247C9A"/>
    <w:rsid w:val="0025160C"/>
    <w:rsid w:val="002535D0"/>
    <w:rsid w:val="002539B3"/>
    <w:rsid w:val="00257C3E"/>
    <w:rsid w:val="00257D3F"/>
    <w:rsid w:val="002602C2"/>
    <w:rsid w:val="00261E3D"/>
    <w:rsid w:val="002666C9"/>
    <w:rsid w:val="00270136"/>
    <w:rsid w:val="0027159C"/>
    <w:rsid w:val="0027302C"/>
    <w:rsid w:val="00274DE7"/>
    <w:rsid w:val="00274F5B"/>
    <w:rsid w:val="00280836"/>
    <w:rsid w:val="00282E1A"/>
    <w:rsid w:val="00287F1E"/>
    <w:rsid w:val="0029113B"/>
    <w:rsid w:val="00292721"/>
    <w:rsid w:val="002934C0"/>
    <w:rsid w:val="0029457D"/>
    <w:rsid w:val="002A1B50"/>
    <w:rsid w:val="002B0E91"/>
    <w:rsid w:val="002B304D"/>
    <w:rsid w:val="002B5B77"/>
    <w:rsid w:val="002B6779"/>
    <w:rsid w:val="002B71C0"/>
    <w:rsid w:val="002B7A34"/>
    <w:rsid w:val="002C31AD"/>
    <w:rsid w:val="002C7385"/>
    <w:rsid w:val="002D0307"/>
    <w:rsid w:val="002D2DBB"/>
    <w:rsid w:val="002D54A6"/>
    <w:rsid w:val="002E6A7A"/>
    <w:rsid w:val="002E6DC7"/>
    <w:rsid w:val="002F1E49"/>
    <w:rsid w:val="002F3AEC"/>
    <w:rsid w:val="002F4E9C"/>
    <w:rsid w:val="00300968"/>
    <w:rsid w:val="0030799D"/>
    <w:rsid w:val="0031256C"/>
    <w:rsid w:val="00314D6C"/>
    <w:rsid w:val="00316D2A"/>
    <w:rsid w:val="00322A7C"/>
    <w:rsid w:val="00323E8F"/>
    <w:rsid w:val="0032524C"/>
    <w:rsid w:val="00336604"/>
    <w:rsid w:val="003402D3"/>
    <w:rsid w:val="00343ABC"/>
    <w:rsid w:val="003451A7"/>
    <w:rsid w:val="003463FE"/>
    <w:rsid w:val="00352CF5"/>
    <w:rsid w:val="003554B3"/>
    <w:rsid w:val="00355A68"/>
    <w:rsid w:val="00356632"/>
    <w:rsid w:val="00363D8B"/>
    <w:rsid w:val="0036742D"/>
    <w:rsid w:val="00380201"/>
    <w:rsid w:val="003845A9"/>
    <w:rsid w:val="00390883"/>
    <w:rsid w:val="003922F8"/>
    <w:rsid w:val="00395B24"/>
    <w:rsid w:val="003A2D38"/>
    <w:rsid w:val="003A7ECC"/>
    <w:rsid w:val="003B0E57"/>
    <w:rsid w:val="003B0F82"/>
    <w:rsid w:val="003B2C72"/>
    <w:rsid w:val="003C03FF"/>
    <w:rsid w:val="003C1333"/>
    <w:rsid w:val="003C20FF"/>
    <w:rsid w:val="003D2650"/>
    <w:rsid w:val="003D4DE5"/>
    <w:rsid w:val="003D560C"/>
    <w:rsid w:val="003D7961"/>
    <w:rsid w:val="003E5874"/>
    <w:rsid w:val="003F193E"/>
    <w:rsid w:val="003F1DC6"/>
    <w:rsid w:val="003F34F1"/>
    <w:rsid w:val="003F4004"/>
    <w:rsid w:val="003F57E1"/>
    <w:rsid w:val="00400156"/>
    <w:rsid w:val="00411AE8"/>
    <w:rsid w:val="00413B74"/>
    <w:rsid w:val="0042760C"/>
    <w:rsid w:val="00435C5F"/>
    <w:rsid w:val="00441679"/>
    <w:rsid w:val="00441E98"/>
    <w:rsid w:val="004532F7"/>
    <w:rsid w:val="00456278"/>
    <w:rsid w:val="004575D9"/>
    <w:rsid w:val="0046285F"/>
    <w:rsid w:val="00472027"/>
    <w:rsid w:val="004804CF"/>
    <w:rsid w:val="004836F4"/>
    <w:rsid w:val="00484962"/>
    <w:rsid w:val="00484F6D"/>
    <w:rsid w:val="00485EB1"/>
    <w:rsid w:val="00486C90"/>
    <w:rsid w:val="0049338A"/>
    <w:rsid w:val="0049417F"/>
    <w:rsid w:val="004B3EFA"/>
    <w:rsid w:val="004B5FBB"/>
    <w:rsid w:val="004C2A87"/>
    <w:rsid w:val="004C4ED3"/>
    <w:rsid w:val="004D2EA5"/>
    <w:rsid w:val="004D32A6"/>
    <w:rsid w:val="004D53E5"/>
    <w:rsid w:val="004E7EAF"/>
    <w:rsid w:val="004F471B"/>
    <w:rsid w:val="00501A12"/>
    <w:rsid w:val="00510D67"/>
    <w:rsid w:val="00511F21"/>
    <w:rsid w:val="0051346D"/>
    <w:rsid w:val="00513EAE"/>
    <w:rsid w:val="00513FC1"/>
    <w:rsid w:val="00516806"/>
    <w:rsid w:val="00525A49"/>
    <w:rsid w:val="00535613"/>
    <w:rsid w:val="005359EB"/>
    <w:rsid w:val="0054254A"/>
    <w:rsid w:val="00543EFF"/>
    <w:rsid w:val="005466B5"/>
    <w:rsid w:val="00555ACE"/>
    <w:rsid w:val="005629B3"/>
    <w:rsid w:val="00562BC7"/>
    <w:rsid w:val="00565142"/>
    <w:rsid w:val="00570303"/>
    <w:rsid w:val="00573AC4"/>
    <w:rsid w:val="0057603A"/>
    <w:rsid w:val="005801FC"/>
    <w:rsid w:val="00595016"/>
    <w:rsid w:val="00597AAE"/>
    <w:rsid w:val="005A222C"/>
    <w:rsid w:val="005A4DF8"/>
    <w:rsid w:val="005A6276"/>
    <w:rsid w:val="005B1426"/>
    <w:rsid w:val="005B3740"/>
    <w:rsid w:val="005B7093"/>
    <w:rsid w:val="005C0A8E"/>
    <w:rsid w:val="005C1767"/>
    <w:rsid w:val="005C42EF"/>
    <w:rsid w:val="005C7A21"/>
    <w:rsid w:val="005D6D73"/>
    <w:rsid w:val="005E02F5"/>
    <w:rsid w:val="005E0510"/>
    <w:rsid w:val="005E176E"/>
    <w:rsid w:val="005E218E"/>
    <w:rsid w:val="005E35A0"/>
    <w:rsid w:val="005E7571"/>
    <w:rsid w:val="005F0D1B"/>
    <w:rsid w:val="005F1865"/>
    <w:rsid w:val="006007BD"/>
    <w:rsid w:val="006013C8"/>
    <w:rsid w:val="0060270D"/>
    <w:rsid w:val="00603FD9"/>
    <w:rsid w:val="00604611"/>
    <w:rsid w:val="006068BD"/>
    <w:rsid w:val="00611586"/>
    <w:rsid w:val="00621887"/>
    <w:rsid w:val="00622EB1"/>
    <w:rsid w:val="00624520"/>
    <w:rsid w:val="00626A12"/>
    <w:rsid w:val="00630EF1"/>
    <w:rsid w:val="00631ABF"/>
    <w:rsid w:val="00632BB7"/>
    <w:rsid w:val="006352E9"/>
    <w:rsid w:val="00635B36"/>
    <w:rsid w:val="00636871"/>
    <w:rsid w:val="00637548"/>
    <w:rsid w:val="00640F4E"/>
    <w:rsid w:val="00643DE0"/>
    <w:rsid w:val="00644E85"/>
    <w:rsid w:val="00647867"/>
    <w:rsid w:val="0066063F"/>
    <w:rsid w:val="00662BB0"/>
    <w:rsid w:val="00663878"/>
    <w:rsid w:val="00667773"/>
    <w:rsid w:val="00670743"/>
    <w:rsid w:val="006875BB"/>
    <w:rsid w:val="00690EE2"/>
    <w:rsid w:val="006A0E20"/>
    <w:rsid w:val="006A5695"/>
    <w:rsid w:val="006B3904"/>
    <w:rsid w:val="006B40D5"/>
    <w:rsid w:val="006B5B7D"/>
    <w:rsid w:val="006D0ECF"/>
    <w:rsid w:val="006D4C92"/>
    <w:rsid w:val="006D4EB6"/>
    <w:rsid w:val="006E35BF"/>
    <w:rsid w:val="006E46B4"/>
    <w:rsid w:val="006E6788"/>
    <w:rsid w:val="006E759C"/>
    <w:rsid w:val="006E7850"/>
    <w:rsid w:val="006F41D9"/>
    <w:rsid w:val="006F585A"/>
    <w:rsid w:val="007028D9"/>
    <w:rsid w:val="00707218"/>
    <w:rsid w:val="00712B1D"/>
    <w:rsid w:val="00715641"/>
    <w:rsid w:val="0073134F"/>
    <w:rsid w:val="007325D9"/>
    <w:rsid w:val="007360CA"/>
    <w:rsid w:val="00736BA4"/>
    <w:rsid w:val="0074309A"/>
    <w:rsid w:val="0075264E"/>
    <w:rsid w:val="007602D1"/>
    <w:rsid w:val="00764140"/>
    <w:rsid w:val="00766265"/>
    <w:rsid w:val="0077682B"/>
    <w:rsid w:val="0078003A"/>
    <w:rsid w:val="00780771"/>
    <w:rsid w:val="0078570E"/>
    <w:rsid w:val="007929CF"/>
    <w:rsid w:val="007A6F28"/>
    <w:rsid w:val="007B03C6"/>
    <w:rsid w:val="007B0DB1"/>
    <w:rsid w:val="007B2934"/>
    <w:rsid w:val="007C013A"/>
    <w:rsid w:val="007C7EB0"/>
    <w:rsid w:val="007D2EF8"/>
    <w:rsid w:val="007D561F"/>
    <w:rsid w:val="007D7FD2"/>
    <w:rsid w:val="007E13D9"/>
    <w:rsid w:val="007E4DB6"/>
    <w:rsid w:val="007E7CD4"/>
    <w:rsid w:val="007F07B9"/>
    <w:rsid w:val="007F1FB6"/>
    <w:rsid w:val="007F57AA"/>
    <w:rsid w:val="00800A1C"/>
    <w:rsid w:val="00800B93"/>
    <w:rsid w:val="00801800"/>
    <w:rsid w:val="00801B5B"/>
    <w:rsid w:val="008072E9"/>
    <w:rsid w:val="008102DC"/>
    <w:rsid w:val="008107F2"/>
    <w:rsid w:val="00821B94"/>
    <w:rsid w:val="008276B4"/>
    <w:rsid w:val="00831927"/>
    <w:rsid w:val="0083195D"/>
    <w:rsid w:val="00831B1B"/>
    <w:rsid w:val="00831EB0"/>
    <w:rsid w:val="00841BD3"/>
    <w:rsid w:val="0084273D"/>
    <w:rsid w:val="008432C5"/>
    <w:rsid w:val="00844E3F"/>
    <w:rsid w:val="00845A83"/>
    <w:rsid w:val="008460F6"/>
    <w:rsid w:val="00860725"/>
    <w:rsid w:val="008712BB"/>
    <w:rsid w:val="008717F2"/>
    <w:rsid w:val="00890310"/>
    <w:rsid w:val="008952B1"/>
    <w:rsid w:val="008A2484"/>
    <w:rsid w:val="008A3952"/>
    <w:rsid w:val="008A77AB"/>
    <w:rsid w:val="008B151D"/>
    <w:rsid w:val="008C04E5"/>
    <w:rsid w:val="008C26D9"/>
    <w:rsid w:val="008C6D50"/>
    <w:rsid w:val="008C7167"/>
    <w:rsid w:val="008C7503"/>
    <w:rsid w:val="008D1617"/>
    <w:rsid w:val="008D5E37"/>
    <w:rsid w:val="008E3148"/>
    <w:rsid w:val="008E6315"/>
    <w:rsid w:val="008F11E0"/>
    <w:rsid w:val="008F738D"/>
    <w:rsid w:val="008F78BC"/>
    <w:rsid w:val="008F7B63"/>
    <w:rsid w:val="008F7D6A"/>
    <w:rsid w:val="009054CB"/>
    <w:rsid w:val="00912F94"/>
    <w:rsid w:val="0092590B"/>
    <w:rsid w:val="00925E60"/>
    <w:rsid w:val="009264B3"/>
    <w:rsid w:val="00935505"/>
    <w:rsid w:val="00942BA2"/>
    <w:rsid w:val="00944C86"/>
    <w:rsid w:val="00952B25"/>
    <w:rsid w:val="00957DE8"/>
    <w:rsid w:val="00960ECB"/>
    <w:rsid w:val="009615D6"/>
    <w:rsid w:val="00964133"/>
    <w:rsid w:val="00967855"/>
    <w:rsid w:val="00970AF4"/>
    <w:rsid w:val="00974B6B"/>
    <w:rsid w:val="00974D68"/>
    <w:rsid w:val="00980736"/>
    <w:rsid w:val="00981A39"/>
    <w:rsid w:val="009849C4"/>
    <w:rsid w:val="00987097"/>
    <w:rsid w:val="009949C1"/>
    <w:rsid w:val="009A07A5"/>
    <w:rsid w:val="009B046C"/>
    <w:rsid w:val="009B13FA"/>
    <w:rsid w:val="009B1E2D"/>
    <w:rsid w:val="009C59FB"/>
    <w:rsid w:val="009C6F3B"/>
    <w:rsid w:val="009D34A5"/>
    <w:rsid w:val="009E4FA6"/>
    <w:rsid w:val="009E606C"/>
    <w:rsid w:val="009E7D93"/>
    <w:rsid w:val="009F15C4"/>
    <w:rsid w:val="009F5C33"/>
    <w:rsid w:val="00A0089E"/>
    <w:rsid w:val="00A03EAC"/>
    <w:rsid w:val="00A04C41"/>
    <w:rsid w:val="00A11CA6"/>
    <w:rsid w:val="00A20C49"/>
    <w:rsid w:val="00A269CA"/>
    <w:rsid w:val="00A33EC0"/>
    <w:rsid w:val="00A359AC"/>
    <w:rsid w:val="00A41413"/>
    <w:rsid w:val="00A45FB1"/>
    <w:rsid w:val="00A46CCC"/>
    <w:rsid w:val="00A51CFE"/>
    <w:rsid w:val="00A61260"/>
    <w:rsid w:val="00A62C8C"/>
    <w:rsid w:val="00A72AB1"/>
    <w:rsid w:val="00A76C13"/>
    <w:rsid w:val="00A92E79"/>
    <w:rsid w:val="00A932C7"/>
    <w:rsid w:val="00A943A4"/>
    <w:rsid w:val="00A950B6"/>
    <w:rsid w:val="00A97ED2"/>
    <w:rsid w:val="00AB41C1"/>
    <w:rsid w:val="00AB4E91"/>
    <w:rsid w:val="00AC1D7D"/>
    <w:rsid w:val="00AD12A8"/>
    <w:rsid w:val="00AE0399"/>
    <w:rsid w:val="00AF0DE5"/>
    <w:rsid w:val="00AF3577"/>
    <w:rsid w:val="00AF35F9"/>
    <w:rsid w:val="00AF55DC"/>
    <w:rsid w:val="00B0298A"/>
    <w:rsid w:val="00B05C7D"/>
    <w:rsid w:val="00B05FE1"/>
    <w:rsid w:val="00B11360"/>
    <w:rsid w:val="00B14E70"/>
    <w:rsid w:val="00B346C3"/>
    <w:rsid w:val="00B42EB0"/>
    <w:rsid w:val="00B4471C"/>
    <w:rsid w:val="00B451A6"/>
    <w:rsid w:val="00B504E4"/>
    <w:rsid w:val="00B603D9"/>
    <w:rsid w:val="00B66A1B"/>
    <w:rsid w:val="00B722DE"/>
    <w:rsid w:val="00B76C44"/>
    <w:rsid w:val="00B773CD"/>
    <w:rsid w:val="00B804B4"/>
    <w:rsid w:val="00B81992"/>
    <w:rsid w:val="00B82F27"/>
    <w:rsid w:val="00B83F87"/>
    <w:rsid w:val="00B8528B"/>
    <w:rsid w:val="00B92F1B"/>
    <w:rsid w:val="00B956C2"/>
    <w:rsid w:val="00B96D11"/>
    <w:rsid w:val="00BA02A7"/>
    <w:rsid w:val="00BA2EFA"/>
    <w:rsid w:val="00BA3DBC"/>
    <w:rsid w:val="00BA4D46"/>
    <w:rsid w:val="00BA7AB0"/>
    <w:rsid w:val="00BB2DA2"/>
    <w:rsid w:val="00BB56DC"/>
    <w:rsid w:val="00BC582E"/>
    <w:rsid w:val="00BD7796"/>
    <w:rsid w:val="00BE183D"/>
    <w:rsid w:val="00BF0348"/>
    <w:rsid w:val="00BF5D7A"/>
    <w:rsid w:val="00BF73D9"/>
    <w:rsid w:val="00C3161D"/>
    <w:rsid w:val="00C36442"/>
    <w:rsid w:val="00C37630"/>
    <w:rsid w:val="00C400CE"/>
    <w:rsid w:val="00C4091A"/>
    <w:rsid w:val="00C410FD"/>
    <w:rsid w:val="00C43EBC"/>
    <w:rsid w:val="00C47AE6"/>
    <w:rsid w:val="00C47DB4"/>
    <w:rsid w:val="00C539FB"/>
    <w:rsid w:val="00C56036"/>
    <w:rsid w:val="00C612E3"/>
    <w:rsid w:val="00C71317"/>
    <w:rsid w:val="00C720B3"/>
    <w:rsid w:val="00C768B9"/>
    <w:rsid w:val="00C903A7"/>
    <w:rsid w:val="00C955D5"/>
    <w:rsid w:val="00C97EBA"/>
    <w:rsid w:val="00CA01EB"/>
    <w:rsid w:val="00CA246D"/>
    <w:rsid w:val="00CA4224"/>
    <w:rsid w:val="00CA534C"/>
    <w:rsid w:val="00CB3F06"/>
    <w:rsid w:val="00CB5636"/>
    <w:rsid w:val="00CD7299"/>
    <w:rsid w:val="00CE173E"/>
    <w:rsid w:val="00CE575A"/>
    <w:rsid w:val="00CF1F1E"/>
    <w:rsid w:val="00D0536B"/>
    <w:rsid w:val="00D10F21"/>
    <w:rsid w:val="00D13758"/>
    <w:rsid w:val="00D2587C"/>
    <w:rsid w:val="00D27D7D"/>
    <w:rsid w:val="00D34040"/>
    <w:rsid w:val="00D34E69"/>
    <w:rsid w:val="00D375EE"/>
    <w:rsid w:val="00D42725"/>
    <w:rsid w:val="00D50DFF"/>
    <w:rsid w:val="00D62699"/>
    <w:rsid w:val="00D74414"/>
    <w:rsid w:val="00D759A7"/>
    <w:rsid w:val="00D82620"/>
    <w:rsid w:val="00D857C3"/>
    <w:rsid w:val="00D85A27"/>
    <w:rsid w:val="00D865B2"/>
    <w:rsid w:val="00D94219"/>
    <w:rsid w:val="00D970B9"/>
    <w:rsid w:val="00D9725F"/>
    <w:rsid w:val="00DA01B1"/>
    <w:rsid w:val="00DA11A2"/>
    <w:rsid w:val="00DA14ED"/>
    <w:rsid w:val="00DA1F2C"/>
    <w:rsid w:val="00DA59AC"/>
    <w:rsid w:val="00DB2EF1"/>
    <w:rsid w:val="00DB3DE1"/>
    <w:rsid w:val="00DB5DA0"/>
    <w:rsid w:val="00DB716C"/>
    <w:rsid w:val="00DC41FA"/>
    <w:rsid w:val="00DC5C85"/>
    <w:rsid w:val="00DD4236"/>
    <w:rsid w:val="00DD44F1"/>
    <w:rsid w:val="00DE24AE"/>
    <w:rsid w:val="00DE3067"/>
    <w:rsid w:val="00DF0E82"/>
    <w:rsid w:val="00E00045"/>
    <w:rsid w:val="00E027BC"/>
    <w:rsid w:val="00E04D5F"/>
    <w:rsid w:val="00E04DDD"/>
    <w:rsid w:val="00E12A45"/>
    <w:rsid w:val="00E146FD"/>
    <w:rsid w:val="00E14EA5"/>
    <w:rsid w:val="00E16559"/>
    <w:rsid w:val="00E21133"/>
    <w:rsid w:val="00E2327E"/>
    <w:rsid w:val="00E266EF"/>
    <w:rsid w:val="00E3164C"/>
    <w:rsid w:val="00E3214A"/>
    <w:rsid w:val="00E3581C"/>
    <w:rsid w:val="00E363D0"/>
    <w:rsid w:val="00E47428"/>
    <w:rsid w:val="00E50430"/>
    <w:rsid w:val="00E66B9F"/>
    <w:rsid w:val="00E710D6"/>
    <w:rsid w:val="00E75F43"/>
    <w:rsid w:val="00E76E45"/>
    <w:rsid w:val="00E777C9"/>
    <w:rsid w:val="00E81DA6"/>
    <w:rsid w:val="00E84212"/>
    <w:rsid w:val="00E86549"/>
    <w:rsid w:val="00E9086C"/>
    <w:rsid w:val="00E91875"/>
    <w:rsid w:val="00E91A0F"/>
    <w:rsid w:val="00E94A71"/>
    <w:rsid w:val="00EA03CE"/>
    <w:rsid w:val="00EA23E5"/>
    <w:rsid w:val="00EA4E2E"/>
    <w:rsid w:val="00EA7000"/>
    <w:rsid w:val="00EB275B"/>
    <w:rsid w:val="00EB2CCB"/>
    <w:rsid w:val="00EC57A7"/>
    <w:rsid w:val="00ED0817"/>
    <w:rsid w:val="00ED7DD9"/>
    <w:rsid w:val="00EE60C6"/>
    <w:rsid w:val="00EF184B"/>
    <w:rsid w:val="00EF3113"/>
    <w:rsid w:val="00EF3F84"/>
    <w:rsid w:val="00EF68F6"/>
    <w:rsid w:val="00F039D9"/>
    <w:rsid w:val="00F058DC"/>
    <w:rsid w:val="00F10313"/>
    <w:rsid w:val="00F176AC"/>
    <w:rsid w:val="00F17BA0"/>
    <w:rsid w:val="00F27714"/>
    <w:rsid w:val="00F3276E"/>
    <w:rsid w:val="00F33D3C"/>
    <w:rsid w:val="00F36550"/>
    <w:rsid w:val="00F37A91"/>
    <w:rsid w:val="00F44A0D"/>
    <w:rsid w:val="00F45CF5"/>
    <w:rsid w:val="00F47DB0"/>
    <w:rsid w:val="00F50E34"/>
    <w:rsid w:val="00F53EF7"/>
    <w:rsid w:val="00F5483A"/>
    <w:rsid w:val="00F54BF2"/>
    <w:rsid w:val="00F62CD7"/>
    <w:rsid w:val="00F730D4"/>
    <w:rsid w:val="00F74A52"/>
    <w:rsid w:val="00F74A92"/>
    <w:rsid w:val="00F92355"/>
    <w:rsid w:val="00F93963"/>
    <w:rsid w:val="00F93A36"/>
    <w:rsid w:val="00F94291"/>
    <w:rsid w:val="00FA0F7A"/>
    <w:rsid w:val="00FA6E49"/>
    <w:rsid w:val="00FB7982"/>
    <w:rsid w:val="00FC0734"/>
    <w:rsid w:val="00FC0FC5"/>
    <w:rsid w:val="00FC588F"/>
    <w:rsid w:val="00FC722F"/>
    <w:rsid w:val="00FD4118"/>
    <w:rsid w:val="00FD74E6"/>
    <w:rsid w:val="00FE1B30"/>
    <w:rsid w:val="00FE7B44"/>
    <w:rsid w:val="00FF3F9E"/>
    <w:rsid w:val="00FF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tabs>
        <w:tab w:val="num" w:pos="720"/>
      </w:tabs>
      <w:spacing w:before="60" w:after="60"/>
      <w:ind w:left="720" w:hanging="72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tabs>
        <w:tab w:val="num" w:pos="720"/>
      </w:tabs>
      <w:ind w:left="720" w:hanging="720"/>
    </w:pPr>
  </w:style>
  <w:style w:type="paragraph" w:customStyle="1" w:styleId="ListNo3">
    <w:name w:val="List No 3"/>
    <w:basedOn w:val="ListNo2"/>
    <w:rsid w:val="00E14EA5"/>
    <w:pPr>
      <w:numPr>
        <w:ilvl w:val="2"/>
      </w:numPr>
      <w:tabs>
        <w:tab w:val="num" w:pos="720"/>
      </w:tabs>
      <w:ind w:left="720" w:hanging="720"/>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DE2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tabs>
        <w:tab w:val="num" w:pos="720"/>
      </w:tabs>
      <w:spacing w:before="60" w:after="60"/>
      <w:ind w:left="720" w:hanging="72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tabs>
        <w:tab w:val="num" w:pos="720"/>
      </w:tabs>
      <w:ind w:left="720" w:hanging="720"/>
    </w:pPr>
  </w:style>
  <w:style w:type="paragraph" w:customStyle="1" w:styleId="ListNo3">
    <w:name w:val="List No 3"/>
    <w:basedOn w:val="ListNo2"/>
    <w:rsid w:val="00E14EA5"/>
    <w:pPr>
      <w:numPr>
        <w:ilvl w:val="2"/>
      </w:numPr>
      <w:tabs>
        <w:tab w:val="num" w:pos="720"/>
      </w:tabs>
      <w:ind w:left="720" w:hanging="720"/>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DE2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1389-9BB2-4B96-9DC7-7665015E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0</TotalTime>
  <Pages>24</Pages>
  <Words>8405</Words>
  <Characters>42533</Characters>
  <Application>Microsoft Office Word</Application>
  <DocSecurity>0</DocSecurity>
  <Lines>868</Lines>
  <Paragraphs>369</Paragraphs>
  <ScaleCrop>false</ScaleCrop>
  <HeadingPairs>
    <vt:vector size="2" baseType="variant">
      <vt:variant>
        <vt:lpstr>Title</vt:lpstr>
      </vt:variant>
      <vt:variant>
        <vt:i4>1</vt:i4>
      </vt:variant>
    </vt:vector>
  </HeadingPairs>
  <TitlesOfParts>
    <vt:vector size="1" baseType="lpstr">
      <vt:lpstr>Chief Executive Officer of Australian Transaction Reports and Analysis Centre v TAB Limited (No 3) [2017] FCA 1296</vt:lpstr>
    </vt:vector>
  </TitlesOfParts>
  <Company>Federal Court of Australia</Company>
  <LinksUpToDate>false</LinksUpToDate>
  <CharactersWithSpaces>50569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 of Australian Transaction Reports and Analysis Centre v TAB Limited (No 3) [2017] FCA 1296</dc:title>
  <dc:creator>Sharon Hodge</dc:creator>
  <cp:lastModifiedBy>Anna Masters</cp:lastModifiedBy>
  <cp:revision>3</cp:revision>
  <cp:lastPrinted>2017-10-11T08:03:00Z</cp:lastPrinted>
  <dcterms:created xsi:type="dcterms:W3CDTF">2017-11-10T00:40:00Z</dcterms:created>
  <dcterms:modified xsi:type="dcterms:W3CDTF">2017-11-10T00:41:00Z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PERRAM J</vt:lpwstr>
  </property>
  <property fmtid="{D5CDD505-2E9C-101B-9397-08002B2CF9AE}" pid="4" name="Judgment_dated" linkTarget="Judgment_dated">
    <vt:lpwstr>16 MARCH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